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001-41798</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SIMPPLE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71 Ayer Rajah Crescent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#03-07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139951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2026, SIMPPLE LTD. (the “Company”) entered into an underwriting agreement (the “Underwriting Agreement”) with Network 1 Financial Securities, Inc., as representative of the several underwriters named therein (the “Underwriter”), in connection with an underwritten public offering (the “Offering”) of 4,000,000 ordinary shares of the Company, par value $0.0008 per share (the “Ordinary Shares”), at $1.25 per share. The Company has also granted the Underwriter warrants up to a total of 300,000 Ordinary Shares at a price equal to 125% of the price of ordinary shares offered in the Offering (the “Underwriter’s Warrant”). The Underwriter’s Warrant may be exercised on a cashless basis if at the time of exercise there is no effective registration statement registering or the prospectus contained therein is not available for the issuance of the Ordinary Shares to the Underwriter. The Underwriter’s Warrant may be assigned to any member participating in the Offering and the officers or partners thereof, is exercisable after the date of issuance, and will be exercisable until such warrants expire five years after the closing date.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Offering was made pursuant to an effective shelf registration statement on Form F-3 (File No. 333-291085) filed with the Securities and Exchange Commission (“Commission”) on October 27, 2026 under the Securities Act of 1933, as amended (the “Securities Act”) and became effective on November 16, 2025 pursuant to Section 8(a) of the Securities Act and a related base prospectus and prospectus supplement dated March 31, 2026 to be filed with the Commission on March 31, 2026 (the “Prospectus Supplement”). The sale and issuance of Underwriter’s Warrant and Ordinary Shares issuable upon the exercise of the Underwriter’s Warrant are offered in reliance on the exemption from registration provided by Section 4(a)(2) of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Underwriting Agreement contains representations, warranties and agreements by the Company, customary conditions to closing, indemnification obligations of the Company, including for liabilities arising under the Securities Act other obligations of the parties and termination provisions. The representations, warranties and covenants contained in the Underwriting Agreement were made only for the purposes of such agreements and as of the specific dates, were solely for the benefit of the parties to such agreements and may be subject to limitations agreed upon by the contracting parties.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description of the Underwriting Agreement and Underwriter’s Warrant do not purport to be complete summaries of and are subject to and qualified in their entirety by reference to the Underwriting Agreement and the form of the Underwriters’ Warrant, copies of which are filed as Exhibit 1.1 and Exhibit 4.1 hereto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use the net proceeds it receives from the Offering working capital for general corporate and administrative purposes.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legal opinion issued by the Company’s legal counsel relating to certain legal matters in connection with the offering and the validity of the securities offered by the Prospectus Supplement is filed as Exhibit 5.1 to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 on Form F-3 (File No. 333-291085).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10120" w:type="dxa"/>
            <w:vAlign w:val="bottom"/>
            <w:tcBorders>
              <w:top w:val="single" w:sz="8" w:color="auto"/>
              <w:bottom w:val="single" w:sz="8" w:color="0000EE"/>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Underwriting Agreement, dated March 31, 2026, by and among the Company and Network 1 Financial Securities, Inc., as representative of</w:t>
            </w:r>
          </w:p>
        </w:tc>
      </w:tr>
      <w:tr>
        <w:trPr>
          <w:trHeight w:val="196"/>
        </w:trPr>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4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several underwriters named therein.</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Form of Underwriter’s Warrant.</w:t>
            </w:r>
          </w:p>
        </w:tc>
      </w:tr>
      <w:tr>
        <w:trPr>
          <w:trHeight w:val="21"/>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Harney Westwood &amp; Riegels Singapore LLP, Cayman Counsel.</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Consent of Harney Westwood &amp; Riegels Singapore LLP, Cayman Counsel (included in Exhibit 5.1).</w:t>
            </w:r>
          </w:p>
        </w:tc>
      </w:tr>
      <w:tr>
        <w:trPr>
          <w:trHeight w:val="453"/>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5400" w:type="dxa"/>
            <w:vAlign w:val="bottom"/>
            <w:tcBorders>
              <w:top w:val="single" w:sz="8" w:color="0000EE"/>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w:t>
            </w:r>
          </w:p>
        </w:tc>
        <w:tc>
          <w:tcPr>
            <w:tcW w:w="1820" w:type="dxa"/>
            <w:vAlign w:val="bottom"/>
            <w:tcBorders>
              <w:top w:val="single" w:sz="8" w:color="0000EE"/>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SIMPPLE LTD.</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Kelvin Lee</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Kelvin Lee</w:t>
            </w: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SIMPPLE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1 Financial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Bridge Avenue, Suite 241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Bank, NJ 07701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Simpple Ltd., an exempted company duly incorporated with limited liability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confirms its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to issue and sell to the underwriter or underwriters, as the case may be, named in Schedule 1 hereto (each,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Network 1 Financial Securities, Inc.is acting as representative (in such capacity,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an aggregate of 4,000,000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par value $0.0008 per share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The offering and sale of the Shares contemplated by this Agreement is referred to herein as the “Offering.” All references to dollar ($) in this Agreement shall mean the U.S. dollar.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Underwriter concerning the purchase and sale of the Shares, as follows:</w:t>
      </w:r>
    </w:p>
    <w:p>
      <w:pPr>
        <w:spacing w:after="0" w:line="225" w:lineRule="exact"/>
        <w:rPr>
          <w:sz w:val="20"/>
          <w:szCs w:val="20"/>
          <w:color w:val="auto"/>
        </w:rPr>
      </w:pPr>
    </w:p>
    <w:p>
      <w:pPr>
        <w:jc w:val="both"/>
        <w:ind w:firstLine="656"/>
        <w:spacing w:after="0" w:line="252" w:lineRule="auto"/>
        <w:tabs>
          <w:tab w:leader="none" w:pos="8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on October 27, 2025,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 registration statement on Form F-3 (File No. 333-291085), including a prospectus (including the information, if any, deemed pursuant to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430A, 430B or 430C under the Securities Act to be part of the registration statement at the time of its effectiveness (“Rule </w:t>
      </w:r>
      <w:r>
        <w:rPr>
          <w:rFonts w:ascii="Times New Roman" w:cs="Times New Roman" w:eastAsia="Times New Roman" w:hAnsi="Times New Roman"/>
          <w:sz w:val="18"/>
          <w:szCs w:val="18"/>
          <w:b w:val="1"/>
          <w:bCs w:val="1"/>
          <w:color w:val="auto"/>
        </w:rPr>
        <w:t>430 Information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relating to the Shares. Such Registration Statement became effective pursuant to Section 8(a) of the Securities Act on November 16, 2025.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prospectus in the form first used (or made available upon request of purchasers pursuant to Rule 173 under the Securities Act) in connection with confirmation of sales of the Shares. Any reference in this Agreement to the Registration Statement, any Preliminary Prospectus or the Prospectus shall be deemed to refer to and include the documents incorporated by reference therein pursuant to Item 6 of Form F-3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Statement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set forth on Annex A, the “</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a Preliminary Prospectus dated March 26, 2026 and each “free-writing prospectus” (as defined pursuant to Rule 405 under the Securities Act) listed on Annex A hereto.</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7:00 A.M, New York City time, on March 31, 2026.</w:t>
      </w:r>
    </w:p>
    <w:p>
      <w:pPr>
        <w:spacing w:after="0" w:line="229" w:lineRule="exact"/>
        <w:rPr>
          <w:sz w:val="20"/>
          <w:szCs w:val="20"/>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 Underwriter’s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56"/>
        <w:spacing w:after="0" w:line="266" w:lineRule="auto"/>
        <w:tabs>
          <w:tab w:leader="none" w:pos="8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Shares to the Underwriters as provided in this Agreement, and each Underwriter, on the basis of the representations, warranties and agreements set forth herein and subject to the conditions set forth herein, agrees to purchase at a price per share of $1.15625 (the “Purchase Price”) from the Company the number of Underwritten Shares set forth opposite such Underwriter’s name in Schedule 1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Shares, and initially to offer the Shares on the terms set forth in the Pricing Disclosure Package. The Company acknowledges and agrees that the Underwriter may offer and sell the Shares to or through any affiliate of the Underwriter.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the Company to the Representative at the offices of Lewis Brisbois Bisgaard &amp; Smith LLP, counsel for the Underwriters, at 45 Fremont Steet, Suite 3000, San Francisco, California 94105 at 10:00 A.M. New York City time on April 1, 2026, or at such other time or place on the same or such other date, not later than the fifth business day thereafter, as the Representative and the Company may agree upon in writing. The time and date of such payment for the Shares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 for the Shares to be purchased on the Closing shall be made against delivery to the Representative for the respective accounts of the several Underwriters of the Shares to be purchased on the Closing Date with any transfer taxes payable in connection with the sale of such Shares duly paid by the Company. Delivery of the Shares shall be made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Underwriter shall otherwise instruct.</w:t>
      </w:r>
    </w:p>
    <w:p>
      <w:pPr>
        <w:spacing w:after="0" w:line="180" w:lineRule="exact"/>
        <w:rPr>
          <w:sz w:val="20"/>
          <w:szCs w:val="20"/>
          <w:color w:val="auto"/>
        </w:rPr>
      </w:pPr>
    </w:p>
    <w:p>
      <w:pPr>
        <w:jc w:val="both"/>
        <w:ind w:firstLine="656"/>
        <w:spacing w:after="0" w:line="254" w:lineRule="auto"/>
        <w:tabs>
          <w:tab w:leader="none" w:pos="9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Representative and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the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neither the Representative nor any other Underwriter shall not have any responsibility or liability to the Company with respect thereto. Any review by the Representative and the other Underwriters of the Company, the transactions contemplated hereby or other matters relating to such transactions will be performed solely for the benefit of the Underwriter and shall not be on behalf of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ind w:left="900" w:hanging="244"/>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Warrant.</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issue to the Underwriter (and/or its respective designees) on the Closing Date, warrants to purchase an aggregate of seven and one-half percent (7.5%) of Ordinary Shares of the total number of Shares purchased under paragraph (a) (the “</w:t>
      </w:r>
      <w:r>
        <w:rPr>
          <w:rFonts w:ascii="Times New Roman" w:cs="Times New Roman" w:eastAsia="Times New Roman" w:hAnsi="Times New Roman"/>
          <w:sz w:val="18"/>
          <w:szCs w:val="18"/>
          <w:b w:val="1"/>
          <w:bCs w:val="1"/>
          <w:color w:val="auto"/>
        </w:rPr>
        <w:t>Underwriter’s Warrant</w:t>
      </w:r>
      <w:r>
        <w:rPr>
          <w:rFonts w:ascii="Times New Roman" w:cs="Times New Roman" w:eastAsia="Times New Roman" w:hAnsi="Times New Roman"/>
          <w:sz w:val="18"/>
          <w:szCs w:val="18"/>
          <w:color w:val="auto"/>
        </w:rPr>
        <w:t>”). The Underwriter’s Warrant will in the substantially the form attached hereto as Annex D. The Ordinary Shares issuable upon exercise of the Underwriter’s Warrant shall mean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together with the Underwriter’s Warrant, the “</w:t>
      </w:r>
      <w:r>
        <w:rPr>
          <w:rFonts w:ascii="Times New Roman" w:cs="Times New Roman" w:eastAsia="Times New Roman" w:hAnsi="Times New Roman"/>
          <w:sz w:val="18"/>
          <w:szCs w:val="18"/>
          <w:b w:val="1"/>
          <w:bCs w:val="1"/>
          <w:color w:val="auto"/>
        </w:rPr>
        <w:t>Underwriter Securities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980" w:hanging="648"/>
        <w:spacing w:after="0" w:line="25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FINRA Rule 5110(e)(1), the Underwriter’s Warrant and the Warrant Shares will be locked up for one hundred eighty (180) days beginning on the date of commencement of sales of the Offering and will expire five (5) years from the Closing Date, subject to certain exceptions as set forth in FINRA Rule 5110(e)(2). The Underwriter’s Warrant will be exercisable at a price equal to one hundred twenty five percent (125%) of the public offering price of each Share in connection with the Offering. The Underwriter’s Warrant shall not be redeemable. The Company will register the Warrant Shares under the Securities Act and will file all necessary undertakings in connection therewith. The Underwriter’s Warrant and the Warrant Shares shall not be sold during the Offering, or sold, transferred, assigned, pledged, or hypothecated, or be the subject of any hedging, short sale, derivative, put, or call transaction that would result in the effective economic disposition of the securities by any Person for a period of one hundred eighty (180) days beginning on the date of commencement of sales of the Offering (“</w:t>
      </w:r>
      <w:r>
        <w:rPr>
          <w:rFonts w:ascii="Times New Roman" w:cs="Times New Roman" w:eastAsia="Times New Roman" w:hAnsi="Times New Roman"/>
          <w:sz w:val="18"/>
          <w:szCs w:val="18"/>
          <w:b w:val="1"/>
          <w:bCs w:val="1"/>
          <w:color w:val="auto"/>
        </w:rPr>
        <w:t>Underwriter Lock-Up Period</w:t>
      </w:r>
      <w:r>
        <w:rPr>
          <w:rFonts w:ascii="Times New Roman" w:cs="Times New Roman" w:eastAsia="Times New Roman" w:hAnsi="Times New Roman"/>
          <w:sz w:val="18"/>
          <w:szCs w:val="18"/>
          <w:color w:val="auto"/>
        </w:rPr>
        <w:t>”), except that they may be exercised, assigned or transferred to any member participating in the Offering and the officers or partners thereof, if all securities so transferred remain subject to the lock-up restriction for the remainder of the time period. For further clarification, the Underwriter will have the option to transfer, assign or exercise the Underwriter’s Warrant at any time including during the Underwriter Lock-Up Period, provided that the Warrant Shares issued pursuant to such exercise are not transferred and will be subject to the lock-up during the Underwriter Lock-Up Period. The Underwriter’s Warrant may be exercised as to all or a lesser number of the Warrant Shares, and will provide for cashless exercise under certain conditions and contain provisions for one demand registration of the sale of the Warrant Shares at the Company’s expense, an additional demand registration at the Underwriter’s Warrant holder’s expense provided such demand registration rights will not be greater than five (5) years from the Closing Date in compliance with FINRA Rule 5110(g)(8)(C), and unlimited “piggyback” registration rights for a period of five (5) years from the Closing Date at the Company’s expense. The Underwriter’s Warrant shall further provide for adjustment in the number and price of such warrants (and Warrant Shares) in the event of recapitalization, merger or other structural transaction to prevent dilution.</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223" w:lineRule="exact"/>
        <w:rPr>
          <w:sz w:val="20"/>
          <w:szCs w:val="20"/>
          <w:color w:val="auto"/>
        </w:rPr>
      </w:pPr>
    </w:p>
    <w:p>
      <w:pPr>
        <w:jc w:val="both"/>
        <w:ind w:firstLine="656"/>
        <w:spacing w:after="0" w:line="256" w:lineRule="auto"/>
        <w:tabs>
          <w:tab w:leader="none" w:pos="9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Preliminary Prospectus</w:t>
      </w:r>
      <w:r>
        <w:rPr>
          <w:rFonts w:ascii="Times New Roman" w:cs="Times New Roman" w:eastAsia="Times New Roman" w:hAnsi="Times New Roman"/>
          <w:sz w:val="18"/>
          <w:szCs w:val="18"/>
          <w:color w:val="auto"/>
        </w:rPr>
        <w:t>. 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the Underwriter furnished to the Company in writing by the Underwriters expressly for use in any Preliminary Prospectus, it being understood and agreed that the only such information furnished by the Underwriters consists of the information described as such in Section 7(b) 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656"/>
        <w:spacing w:after="0" w:line="255"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as of the Applicable Time did not, and as of the Closing Date will not,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the Underwriters furnished to the Company in writing by the Underwriters expressly for use in such Pricing Disclosure Package, it being understood and agreed that the only such information furnished by the Underwriters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89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Issuer Free Writing Prospectus</w:t>
      </w:r>
      <w:r>
        <w:rPr>
          <w:rFonts w:ascii="Times New Roman" w:cs="Times New Roman" w:eastAsia="Times New Roman" w:hAnsi="Times New Roman"/>
          <w:sz w:val="17"/>
          <w:szCs w:val="17"/>
          <w:color w:val="auto"/>
        </w:rPr>
        <w:t>. Other than the Registration Statement, the Preliminary Prospectus and the Prospectus, the Company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its agents and representatives, other than each Underwriter in its capacity as such) has not prepared, made, used, authorized, approved or referred to and will not prepare, make, use, authorize, approve or refer to any “written communication” (as defined in Rule 405 under the Securities Act) that constitutes an offer to sell or a solicitation of an offer to buy the Shares (each such communication by the Company or its agents and representatives (other than a communication referred to in clause (i) below) an “</w:t>
      </w:r>
      <w:r>
        <w:rPr>
          <w:rFonts w:ascii="Times New Roman" w:cs="Times New Roman" w:eastAsia="Times New Roman" w:hAnsi="Times New Roman"/>
          <w:sz w:val="17"/>
          <w:szCs w:val="17"/>
          <w:b w:val="1"/>
          <w:bCs w:val="1"/>
          <w:color w:val="auto"/>
        </w:rPr>
        <w:t>Issuer Free Writing Prospectus</w:t>
      </w:r>
      <w:r>
        <w:rPr>
          <w:rFonts w:ascii="Times New Roman" w:cs="Times New Roman" w:eastAsia="Times New Roman" w:hAnsi="Times New Roman"/>
          <w:sz w:val="17"/>
          <w:szCs w:val="17"/>
          <w:color w:val="auto"/>
        </w:rPr>
        <w:t>”)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each such Issuer Free Writing Prospectus or Preliminary Prospectus in reliance upon and in conformity with information relating to the Underwriters furnished to the Company in writing by the Underwriters expressly for use in such Issuer Free Writing Prospectus or Preliminary Prospectus, it being understood and agreed that the only such information furnished by the Underwriters consists of the information described as such in Section 7(b) hereof.</w:t>
      </w:r>
    </w:p>
    <w:p>
      <w:pPr>
        <w:spacing w:after="0" w:line="181" w:lineRule="exact"/>
        <w:rPr>
          <w:rFonts w:ascii="Times New Roman" w:cs="Times New Roman" w:eastAsia="Times New Roman" w:hAnsi="Times New Roman"/>
          <w:sz w:val="17"/>
          <w:szCs w:val="17"/>
          <w:color w:val="auto"/>
        </w:rPr>
      </w:pPr>
    </w:p>
    <w:p>
      <w:pPr>
        <w:jc w:val="both"/>
        <w:ind w:firstLine="656"/>
        <w:spacing w:after="0" w:line="254"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Testing-the-Waters Materials</w:t>
      </w:r>
      <w:r>
        <w:rPr>
          <w:rFonts w:ascii="Times New Roman" w:cs="Times New Roman" w:eastAsia="Times New Roman" w:hAnsi="Times New Roman"/>
          <w:sz w:val="18"/>
          <w:szCs w:val="18"/>
          <w:color w:val="auto"/>
        </w:rPr>
        <w:t>. Prior to the completion of the Underwriters’ distribution of the Shares, the Company has not distributed and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distribute any offering material in connection with the offering and sale of the Shares other than the Registration Statement, the Pricing Disclosure Package, the Prospectus or any free writing prospectus reviewed and consented to by the Representative, which consent shall not be unreasonably withheld, the free writing prospectuses, if any, identified on Annex A hereto and any oral or written communication with potential investors undertaken in reliance on either Section 5(d) of, or Rule 163B under, the Securities Act (each, a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and, if a written communication,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The Company has not distributed or approved for distribution any Written Testing-the-Waters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those listed on Annex B hereto. Each Written Testing-the-Waters Communication, when considered together with the Pricing Disclosure Package, did not, as of the Applicable Time, contain any untrue statement of a material fact or omit to state a material fact necessary to make the statements therein, in the light of the circumstances under which they were made, not misleading.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 w:name="page8"/>
    <w:bookmarkEnd w:id="7"/>
    <w:p>
      <w:pPr>
        <w:jc w:val="both"/>
        <w:ind w:firstLine="656"/>
        <w:spacing w:after="0" w:line="253" w:lineRule="auto"/>
        <w:tabs>
          <w:tab w:leader="none" w:pos="8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and Prospectus</w:t>
      </w:r>
      <w:r>
        <w:rPr>
          <w:rFonts w:ascii="Times New Roman" w:cs="Times New Roman" w:eastAsia="Times New Roman" w:hAnsi="Times New Roman"/>
          <w:sz w:val="18"/>
          <w:szCs w:val="18"/>
          <w:color w:val="auto"/>
        </w:rPr>
        <w:t>. The Registration Statement became effective pursuant to Section 8(a) of the Securities Act. No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the Underwriters furnished to the Company in writing by the Underwriters expressly for use in the Registration Statement and the Prospectus and any amendment or supplement thereto, it being understood and agreed that the only such information furnished by the Underwriters consists of the information described as such in Section 7(b) hereof.</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8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Incorporated Documents</w:t>
      </w:r>
      <w:r>
        <w:rPr>
          <w:rFonts w:ascii="Times New Roman" w:cs="Times New Roman" w:eastAsia="Times New Roman" w:hAnsi="Times New Roman"/>
          <w:sz w:val="18"/>
          <w:szCs w:val="18"/>
          <w:color w:val="auto"/>
        </w:rPr>
        <w:t>. The documents incorporated by reference in the Registration Statement, the Prospectus and the Pricing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when they were filed with the Commission conformed in all material respects to the requirements of the Exchange Act, and, at such time of filing,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(including the related notes thereto) of the Company and its consolidated subsidiaries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in the case of unaudited financial statements, which are subject to normal year 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 w:name="page9"/>
    <w:bookmarkEnd w:id="8"/>
    <w:p>
      <w:pPr>
        <w:jc w:val="both"/>
        <w:ind w:firstLine="656"/>
        <w:spacing w:after="0" w:line="252"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Since the date of the latest audited financial statements included within all reports, schedules, forms,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documents required to be filed by the Company under the Securities Act and the Exchange Act, including pursuant to Section 13(a) or 15(d) thereof, (the foregoing materials, including the exhibits thereto and documents incorporated by reference therein, together with the Prospectus, being collectively referred to herein as the “SEC Reports”),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except in the case of each of the foregoing clauses as otherwise disclosed in the Registration Statement, the Pricing Disclosure Package and the Prospectus.</w:t>
      </w:r>
    </w:p>
    <w:p>
      <w:pPr>
        <w:spacing w:after="0" w:line="195" w:lineRule="exact"/>
        <w:rPr>
          <w:rFonts w:ascii="Times New Roman" w:cs="Times New Roman" w:eastAsia="Times New Roman" w:hAnsi="Times New Roman"/>
          <w:sz w:val="18"/>
          <w:szCs w:val="18"/>
          <w:color w:val="auto"/>
        </w:rPr>
      </w:pPr>
    </w:p>
    <w:p>
      <w:pPr>
        <w:jc w:val="both"/>
        <w:ind w:firstLine="656"/>
        <w:spacing w:after="0" w:line="252" w:lineRule="auto"/>
        <w:tabs>
          <w:tab w:leader="none" w:pos="8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The Company and each of the subsidiaries is an entity duly incorporated or otherwise organized,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and in good standing under the laws of the jurisdiction of its incorporation or organization, with the requisite power and authority to own and use its properties and assets and to carry on its business as currently conducted, except where the failure to be in good standing could not reasonably be expected to have a Material Adverse Effect. Neither the Company nor any subsidiary is in violation nor default of any of the provisions of its memorandum and articles of association, charter, bylaws or similar organizational documents (as the same may be amended or restated from time to time,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Documents</w:t>
      </w:r>
      <w:r>
        <w:rPr>
          <w:rFonts w:ascii="Times New Roman" w:cs="Times New Roman" w:eastAsia="Times New Roman" w:hAnsi="Times New Roman"/>
          <w:sz w:val="18"/>
          <w:szCs w:val="18"/>
          <w:color w:val="auto"/>
        </w:rPr>
        <w:t>”) in force on the date of this Agreement. Each of the Company and the subsidiaries is duly qualified to conduct business and is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this Agreement, all exhibits and schedules thereto and hereto and any other documents or agreements executed in connection with the transactions contemplated hereunder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 The Company does not own or control, directly or indirectly, any corporation, association or other entity other than the subsidiaries listed on Schedule 2 hereto. None of the subsidiaries of the Company (other than those listed in Exhibit 21.1 to the Company’s Annual Report on Form 20-F for the year ended December 31, 2024 (collectively, the “</w:t>
      </w:r>
      <w:r>
        <w:rPr>
          <w:rFonts w:ascii="Times New Roman" w:cs="Times New Roman" w:eastAsia="Times New Roman" w:hAnsi="Times New Roman"/>
          <w:sz w:val="18"/>
          <w:szCs w:val="18"/>
          <w:b w:val="1"/>
          <w:bCs w:val="1"/>
          <w:color w:val="auto"/>
        </w:rPr>
        <w:t>Significant Subsidiaries</w:t>
      </w:r>
      <w:r>
        <w:rPr>
          <w:rFonts w:ascii="Times New Roman" w:cs="Times New Roman" w:eastAsia="Times New Roman" w:hAnsi="Times New Roman"/>
          <w:sz w:val="18"/>
          <w:szCs w:val="18"/>
          <w:color w:val="auto"/>
        </w:rPr>
        <w:t>”)) is a “significant subsidiary” (as defined in Rule 405 under the Securities Act).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jc w:val="both"/>
        <w:ind w:firstLine="656"/>
        <w:spacing w:after="0" w:line="252" w:lineRule="auto"/>
        <w:tabs>
          <w:tab w:leader="none" w:pos="8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The Company has an authorized capitalization as set forth in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under the heading “Capitalization”. The Company has not issued any capital stock since its most recently filed periodic report under the Exchange Act, other than pursuant to the exercise of employee stock options under the Company’s stock option plans, the issuance of Ordinary Shares to employees pursuant to the Company’s employee stock purchase plans, pursuant to the conversion and/or exercise of Ordinary Shares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Shares Equivalents or capital stock of any subsidiary. The issuance and sale of the Shares will not obligate the Company or any subsidiary to issue Ordinary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There are no shareholders agreements, voting agreements or other similar agreements with respect to the Company’s capital stock to which the Company is a party or, to the knowledge of the Company, between or among any of the Company’s shareholders.</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Each stock option granted by the Company under the Company’s equity incentive plans was granted (i)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Company’s stock option plan and (ii) with an exercise price at least equal to the fair market value of the Ordinary Shares on the date such stock option would be considered granted under GAAP and applicable law. No stock option granted under the Company’s equity incentive plans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8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The Company has full right, power and authority to execute and deliver this Agreement and to perform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and Underwriter’s Warrant Agreements</w:t>
      </w:r>
      <w:r>
        <w:rPr>
          <w:rFonts w:ascii="Times New Roman" w:cs="Times New Roman" w:eastAsia="Times New Roman" w:hAnsi="Times New Roman"/>
          <w:sz w:val="18"/>
          <w:szCs w:val="18"/>
          <w:color w:val="auto"/>
        </w:rPr>
        <w:t>. This Agreement and Underwriter’s Warrant have been duly authorized,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 Company.</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Shares</w:t>
      </w:r>
      <w:r>
        <w:rPr>
          <w:rFonts w:ascii="Times New Roman" w:cs="Times New Roman" w:eastAsia="Times New Roman" w:hAnsi="Times New Roman"/>
          <w:sz w:val="18"/>
          <w:szCs w:val="18"/>
          <w:color w:val="auto"/>
        </w:rPr>
        <w:t>. The Shares and Warrant Shares to be issued and sold by the Company hereunder have been duly authorized by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issued and 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w:t>
      </w:r>
    </w:p>
    <w:p>
      <w:pPr>
        <w:spacing w:after="0" w:line="179" w:lineRule="exact"/>
        <w:rPr>
          <w:rFonts w:ascii="Times New Roman" w:cs="Times New Roman" w:eastAsia="Times New Roman" w:hAnsi="Times New Roman"/>
          <w:sz w:val="18"/>
          <w:szCs w:val="18"/>
          <w:color w:val="auto"/>
        </w:rPr>
      </w:pPr>
    </w:p>
    <w:p>
      <w:pPr>
        <w:ind w:right="20" w:firstLine="656"/>
        <w:spacing w:after="0" w:line="284" w:lineRule="auto"/>
        <w:tabs>
          <w:tab w:leader="none" w:pos="9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the Underwriting Agreement</w:t>
      </w:r>
      <w:r>
        <w:rPr>
          <w:rFonts w:ascii="Times New Roman" w:cs="Times New Roman" w:eastAsia="Times New Roman" w:hAnsi="Times New Roman"/>
          <w:sz w:val="18"/>
          <w:szCs w:val="18"/>
          <w:color w:val="auto"/>
        </w:rPr>
        <w:t>. This Agreement conforms in all material respects to the description thereof contained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 w:name="page11"/>
    <w:bookmarkEnd w:id="10"/>
    <w:p>
      <w:pPr>
        <w:jc w:val="both"/>
        <w:ind w:firstLine="656"/>
        <w:spacing w:after="0" w:line="256" w:lineRule="auto"/>
        <w:tabs>
          <w:tab w:leader="none" w:pos="9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Violation or Default</w:t>
      </w:r>
      <w:r>
        <w:rPr>
          <w:rFonts w:ascii="Times New Roman" w:cs="Times New Roman" w:eastAsia="Times New Roman" w:hAnsi="Times New Roman"/>
          <w:sz w:val="18"/>
          <w:szCs w:val="18"/>
          <w:color w:val="auto"/>
        </w:rPr>
        <w:t>. Neither the Company nor any of its subsidiaries is (i) in violation of its Charter Documents; (ii) in default,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individually or in the aggregate, reasonably be expected to have a Material Adverse Effect.</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execution, delivery and performance by the Company of this Agreement, the issuance and sale of the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Warrant and the consummation of the transactions contemplated by this Agreement or the Pricing Disclosure Package and the Prospectus will not (i) conflict with or violate any provision of the Company’s or any subsidiary’s Charter Documents, (ii) conflict with, or constitute a default (or an event that with notice or lapse of time or both would become a default) under, result in the creation of any lien, charge, pledge, security interest, encumbrance, right of first refusal, preemptive right or other restriction (a “</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91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and Underwriter’s Warrant, the issuance and sale of the Shares and Warrant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and under applicable state securities laws in connection with the purchase and distribution of the Shares by the Underwriters.</w:t>
      </w:r>
    </w:p>
    <w:p>
      <w:pPr>
        <w:spacing w:after="0" w:line="182" w:lineRule="exact"/>
        <w:rPr>
          <w:rFonts w:ascii="Times New Roman" w:cs="Times New Roman" w:eastAsia="Times New Roman" w:hAnsi="Times New Roman"/>
          <w:sz w:val="18"/>
          <w:szCs w:val="18"/>
          <w:color w:val="auto"/>
        </w:rPr>
      </w:pPr>
    </w:p>
    <w:p>
      <w:pPr>
        <w:jc w:val="both"/>
        <w:ind w:firstLine="656"/>
        <w:spacing w:after="0" w:line="271" w:lineRule="auto"/>
        <w:tabs>
          <w:tab w:leader="none" w:pos="8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Except as disclosed in the SEC Reports, there is no action, suit, inquiry, notice of violation, proceeding or investigation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7"/>
          <w:szCs w:val="17"/>
          <w:b w:val="1"/>
          <w:bCs w:val="1"/>
          <w:color w:val="auto"/>
        </w:rPr>
        <w:t>Action</w:t>
      </w:r>
      <w:r>
        <w:rPr>
          <w:rFonts w:ascii="Times New Roman" w:cs="Times New Roman" w:eastAsia="Times New Roman" w:hAnsi="Times New Roman"/>
          <w:sz w:val="17"/>
          <w:szCs w:val="17"/>
          <w:color w:val="auto"/>
        </w:rPr>
        <w:t>”) which (i) adversely affects or challenges the legality, validity or enforceability of this Agreement or the Shares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 w:name="page12"/>
    <w:bookmarkEnd w:id="11"/>
    <w:p>
      <w:pPr>
        <w:jc w:val="both"/>
        <w:ind w:firstLine="656"/>
        <w:spacing w:after="0" w:line="267" w:lineRule="auto"/>
        <w:tabs>
          <w:tab w:leader="none" w:pos="8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The Company’s accounting firm is Audit Alliance LLP. To the knowledge and belief of the Company,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is a registered public accounting firm within the applicable rules and regulations adopted by the Commission and the Public Company Accounting Oversight Board (United States) and as required by the Exchange Act.</w:t>
      </w:r>
    </w:p>
    <w:p>
      <w:pPr>
        <w:spacing w:after="0" w:line="173"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Assets</w:t>
      </w:r>
      <w:r>
        <w:rPr>
          <w:rFonts w:ascii="Times New Roman" w:cs="Times New Roman" w:eastAsia="Times New Roman" w:hAnsi="Times New Roman"/>
          <w:sz w:val="18"/>
          <w:szCs w:val="18"/>
          <w:color w:val="auto"/>
        </w:rPr>
        <w:t>. Except as disclosed in the SEC Reports, the Company and the subsidiaries have good and marketable title in fee simple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property owned by them and good and marketable title in all personal property owned b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so comply would not reasonably be expected to result in a Material Adverse Effect.</w:t>
      </w:r>
    </w:p>
    <w:p>
      <w:pPr>
        <w:spacing w:after="0" w:line="184"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“Intellectual Property Rights”). None of, and neither the Company nor any subsidiary has received a notice (written or otherwise) that any of, the Intellectual Property Rights has expired, terminated or been abandoned, or except as would not have a Material Adverse Effect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firstLine="656"/>
        <w:spacing w:after="0" w:line="255" w:lineRule="auto"/>
        <w:tabs>
          <w:tab w:leader="none" w:pos="94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 Source Software</w:t>
      </w:r>
      <w:r>
        <w:rPr>
          <w:rFonts w:ascii="Times New Roman" w:cs="Times New Roman" w:eastAsia="Times New Roman" w:hAnsi="Times New Roman"/>
          <w:sz w:val="18"/>
          <w:szCs w:val="18"/>
          <w:color w:val="auto"/>
        </w:rPr>
        <w:t>. (i) To the best of the Company’s knowledge, the Company uses and has used any and all software and other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the Company has not used or distributed and does not use or distribute any Open Source Software in any manner that requires or has required (A) the Company to permit reverse engineering of any software code or other technology owned by the Company or</w:t>
      </w:r>
    </w:p>
    <w:p>
      <w:pPr>
        <w:ind w:firstLine="8"/>
        <w:spacing w:after="0" w:line="260" w:lineRule="auto"/>
        <w:tabs>
          <w:tab w:leader="none" w:pos="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software code or other technology owned by the Company to be (1) disclosed or distributed in source code form, (2) licensed for the purpose of making derivative works or (3) redistributed at no charge.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 w:name="page13"/>
    <w:bookmarkEnd w:id="12"/>
    <w:p>
      <w:pPr>
        <w:jc w:val="both"/>
        <w:ind w:firstLine="656"/>
        <w:spacing w:after="0" w:line="255"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Security</w:t>
      </w:r>
      <w:r>
        <w:rPr>
          <w:rFonts w:ascii="Times New Roman" w:cs="Times New Roman" w:eastAsia="Times New Roman" w:hAnsi="Times New Roman"/>
          <w:sz w:val="18"/>
          <w:szCs w:val="18"/>
          <w:color w:val="auto"/>
        </w:rPr>
        <w:t>. (i) To the best of the Company’s knowledge, the Company has complied and is presently in compliance with all internal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of personal, personally identifiable, household, sensitive, confidential or regulated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notification of or complaint regarding and is unaware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facts that, individually or in the aggregate, would reasonably indicate non-compliance with any Data Security Obligation; and (iii) there is no action, suit or proceeding by or before any court or governmental agency, authority or body pending or threatened alleging non-compliance with any Data Security Obligation nor are there any incidents under internal review or investigations relating to the same.</w:t>
      </w:r>
    </w:p>
    <w:p>
      <w:pPr>
        <w:spacing w:after="0" w:line="184" w:lineRule="exact"/>
        <w:rPr>
          <w:rFonts w:ascii="Times New Roman" w:cs="Times New Roman" w:eastAsia="Times New Roman" w:hAnsi="Times New Roman"/>
          <w:sz w:val="18"/>
          <w:szCs w:val="18"/>
          <w:color w:val="auto"/>
        </w:rPr>
      </w:pPr>
    </w:p>
    <w:p>
      <w:pPr>
        <w:jc w:val="both"/>
        <w:ind w:firstLine="656"/>
        <w:spacing w:after="0" w:line="253" w:lineRule="auto"/>
        <w:tabs>
          <w:tab w:leader="none" w:pos="9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Protection; No Breaches</w:t>
      </w:r>
      <w:r>
        <w:rPr>
          <w:rFonts w:ascii="Times New Roman" w:cs="Times New Roman" w:eastAsia="Times New Roman" w:hAnsi="Times New Roman"/>
          <w:sz w:val="18"/>
          <w:szCs w:val="18"/>
          <w:color w:val="auto"/>
        </w:rPr>
        <w:t>. To the best of the Company’s knowledge, the Company’s information technology assets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computers, systems, networks, hardware, software, websites, applications, and databases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taken commercially reasonable efforts to protect the information technology systems and Data used in connection with the operation of the Company’s business. Without limiting the foregoing, the Company has used reasonable efforts to establish and maintain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business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There has been no material Breach, and the Company has not been notified of and has no knowledge of any event or condition that would reasonably be expected to result in, any such Breach.</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shareholders,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80" w:lineRule="exact"/>
        <w:rPr>
          <w:sz w:val="20"/>
          <w:szCs w:val="20"/>
          <w:color w:val="auto"/>
        </w:rPr>
      </w:pPr>
    </w:p>
    <w:p>
      <w:pPr>
        <w:jc w:val="both"/>
        <w:ind w:firstLine="656"/>
        <w:spacing w:after="0" w:line="261" w:lineRule="auto"/>
        <w:tabs>
          <w:tab w:leader="none" w:pos="9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Shares and the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0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Company and its subsidiaries each (i) has made or filed all foreign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 w:name="page14"/>
    <w:bookmarkEnd w:id="13"/>
    <w:p>
      <w:pPr>
        <w:jc w:val="both"/>
        <w:ind w:firstLine="656"/>
        <w:spacing w:after="0" w:line="255" w:lineRule="auto"/>
        <w:tabs>
          <w:tab w:leader="none" w:pos="9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84" w:lineRule="exact"/>
        <w:rPr>
          <w:rFonts w:ascii="Times New Roman" w:cs="Times New Roman" w:eastAsia="Times New Roman" w:hAnsi="Times New Roman"/>
          <w:sz w:val="18"/>
          <w:szCs w:val="18"/>
          <w:color w:val="auto"/>
        </w:rPr>
      </w:pPr>
    </w:p>
    <w:p>
      <w:pPr>
        <w:jc w:val="both"/>
        <w:ind w:firstLine="656"/>
        <w:spacing w:after="0" w:line="261" w:lineRule="auto"/>
        <w:tabs>
          <w:tab w:leader="none" w:pos="9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Labor Disputes</w:t>
      </w:r>
      <w:r>
        <w:rPr>
          <w:rFonts w:ascii="Times New Roman" w:cs="Times New Roman" w:eastAsia="Times New Roman" w:hAnsi="Times New Roman"/>
          <w:sz w:val="18"/>
          <w:szCs w:val="18"/>
          <w:color w:val="auto"/>
        </w:rPr>
        <w:t>. No labor dispute exists or, to the knowledge of the Company, is imminent with respect to any of the employees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4" w:name="page15"/>
    <w:bookmarkEnd w:id="14"/>
    <w:p>
      <w:pPr>
        <w:jc w:val="both"/>
        <w:ind w:firstLine="656"/>
        <w:spacing w:after="0" w:line="257" w:lineRule="auto"/>
        <w:tabs>
          <w:tab w:leader="none" w:pos="9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The Board of Directors of the Company is comprised of the persons set forth under the heading of the Pricing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Prospectus captioned “Management.” The qualifications of the persons serving as board members and the overall composition of the board comply with the Exchange Act, the Exchange Act Regulations, the Sarbanes-Oxley Act of 2002 and the rules promulgated thereunder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applicable to the Company and the listing rules of the Exchange. At least one member of the Audit Committee of the Board of Directors of the Company qualifies as an “audit committee financial expert,” as such term is defined under Regulation S-K and the listing rules of the Exchange. In addition, at least a majority of the persons serving on the Board of Directors qualify as “independent,” as defined under the listing rules of the Exchange.</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9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b w:val="1"/>
          <w:bCs w:val="1"/>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jc w:val="both"/>
        <w:ind w:firstLine="656"/>
        <w:spacing w:after="0" w:line="253" w:lineRule="auto"/>
        <w:tabs>
          <w:tab w:leader="none" w:pos="9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maintained and enforced, and will continue to maintain and enforce policies and procedures designed to promote and ensure compliance with all applicable anti-bribery and anti-corruption laws.</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9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or affiliate of the Company or any subsidiary is currently subject to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Since April 24, 2019, the Company nor any of its subsidiaries have knowingly engaged in or are now knowingly engaged in any dealings or transactions with any person that at the time of the dealing or transaction is or was the subject or the target of Sanctions or with any Sanctioned Country.</w:t>
      </w:r>
    </w:p>
    <w:p>
      <w:pPr>
        <w:spacing w:after="0" w:line="184"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3" w:lineRule="exact"/>
        <w:rPr>
          <w:rFonts w:ascii="Times New Roman" w:cs="Times New Roman" w:eastAsia="Times New Roman" w:hAnsi="Times New Roman"/>
          <w:sz w:val="18"/>
          <w:szCs w:val="18"/>
          <w:color w:val="auto"/>
        </w:rPr>
      </w:pPr>
    </w:p>
    <w:p>
      <w:pPr>
        <w:jc w:val="both"/>
        <w:ind w:firstLine="656"/>
        <w:spacing w:after="0" w:line="267" w:lineRule="auto"/>
        <w:tabs>
          <w:tab w:leader="none" w:pos="10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any of them or the Underwriters for a brokerage commission, finder’s fee or like payment in connection with the offering and sale of the Shares hereunder.</w:t>
      </w:r>
    </w:p>
    <w:p>
      <w:pPr>
        <w:spacing w:after="0" w:line="173" w:lineRule="exact"/>
        <w:rPr>
          <w:rFonts w:ascii="Times New Roman" w:cs="Times New Roman" w:eastAsia="Times New Roman" w:hAnsi="Times New Roman"/>
          <w:sz w:val="18"/>
          <w:szCs w:val="18"/>
          <w:color w:val="auto"/>
        </w:rPr>
      </w:pPr>
    </w:p>
    <w:p>
      <w:pPr>
        <w:ind w:right="20" w:firstLine="656"/>
        <w:spacing w:after="0" w:line="284" w:lineRule="auto"/>
        <w:tabs>
          <w:tab w:leader="none" w:pos="9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securities of the Company or any subsidiary.</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Neither the Company nor any of its subsidiaries or affiliates has taken, directly or indirectly, any action designed to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reasonably be expected to cause or result in any stabilization or manipulation of the price of the Shares.</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9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of the Registration Statement, the Pricing Disclosure Package and the Prospectus will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included or incorporated by reference in any of the Registration Statement, the Pricing Disclosure Package or the Prospectus has been made or reaffirmed without a reasonable basis or has been disclosed other than in good faith.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 w:name="page17"/>
    <w:bookmarkEnd w:id="16"/>
    <w:p>
      <w:pPr>
        <w:jc w:val="both"/>
        <w:ind w:firstLine="656"/>
        <w:spacing w:after="0" w:line="267" w:lineRule="auto"/>
        <w:tabs>
          <w:tab w:leader="none" w:pos="9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Statistical and Market Data</w:t>
      </w:r>
      <w:r>
        <w:rPr>
          <w:rFonts w:ascii="Times New Roman" w:cs="Times New Roman" w:eastAsia="Times New Roman" w:hAnsi="Times New Roman"/>
          <w:sz w:val="18"/>
          <w:szCs w:val="18"/>
          <w:color w:val="auto"/>
        </w:rPr>
        <w:t>. Nothing has come to the attention of the Company that has caused the Company to believe that the statistical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market-related data included or incorporated by reference in each of the Registration Statement, the Pricing Disclosure Package and the Prospectus is not based on or derived from sources that are reliable and accurate in all material respects.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that the Company or any offering participant made a bona fide offer (within the meaning of Rule 164(h)(2) under the Securities Act) of the Shares and at the date hereof, the Company was not and is not an “ineligible issuer,” as defined in Rules 164, 405 and 433 under the Securities Act.</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Passive Foreign Investment Company</w:t>
      </w:r>
      <w:r>
        <w:rPr>
          <w:rFonts w:ascii="Times New Roman" w:cs="Times New Roman" w:eastAsia="Times New Roman" w:hAnsi="Times New Roman"/>
          <w:sz w:val="18"/>
          <w:szCs w:val="18"/>
          <w:color w:val="auto"/>
        </w:rPr>
        <w:t>. The Company was not a “passive foreign investment company” (“PFIC”) as defined in Section 1297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Internal Revenue Code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for its most recently completed taxable year and the Company does not expect to be a PFIC for the foreseeable future.</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FINRA Matters</w:t>
      </w:r>
      <w:r>
        <w:rPr>
          <w:rFonts w:ascii="Times New Roman" w:cs="Times New Roman" w:eastAsia="Times New Roman" w:hAnsi="Times New Roman"/>
          <w:sz w:val="18"/>
          <w:szCs w:val="18"/>
          <w:color w:val="auto"/>
        </w:rPr>
        <w:t>. All of the information provided to the Underwriters or to counsel for the Underwriters by the Company,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its counsel, its officers and directors and the holders of any securities (debt or equity) or options to acquire any securities of the Company in connection with the offering of the Shares is true, complete, correct and compliant in all material respects with FINRA’s rules and any letters, filings or other supplemental information provided to FINRA pursuant to FINRA Rules or NASD Conduct Rules is true, complete and correct in all material respects.</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0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Exchange Listing</w:t>
      </w:r>
      <w:r>
        <w:rPr>
          <w:rFonts w:ascii="Times New Roman" w:cs="Times New Roman" w:eastAsia="Times New Roman" w:hAnsi="Times New Roman"/>
          <w:sz w:val="18"/>
          <w:szCs w:val="18"/>
          <w:color w:val="auto"/>
        </w:rPr>
        <w:t>. The Ordinary Share is registered pursuant to Section 12(b) of the Exchange Act, and the Company has taken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designed to, or which to its knowledge is likely to have the effect of, terminating the registration of the Ordinary Share under the Exchange Act nor has the Company received any notification that the Commission is contemplating terminating such registration. The Company has not, in the 12 months preceding the date hereof, received notice from any of the NYSE American, the Nasdaq Capital Market, the Nasdaq Global Market, the Nasdaq Global Select Market or the New York Stock Exchange (each a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on which the Ordinary Share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 w:name="page18"/>
    <w:bookmarkEnd w:id="17"/>
    <w:p>
      <w:pPr>
        <w:jc w:val="both"/>
        <w:ind w:firstLine="656"/>
        <w:spacing w:after="0" w:line="252" w:lineRule="auto"/>
        <w:tabs>
          <w:tab w:leader="none" w:pos="9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Contracts and Agreements Disclosure</w:t>
      </w:r>
      <w:r>
        <w:rPr>
          <w:rFonts w:ascii="Times New Roman" w:cs="Times New Roman" w:eastAsia="Times New Roman" w:hAnsi="Times New Roman"/>
          <w:sz w:val="18"/>
          <w:szCs w:val="18"/>
          <w:color w:val="auto"/>
        </w:rPr>
        <w:t>. The agreements and documents described in the Registration Statement, the Prospectus and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conform to the descriptions thereof contained therein and there are no agreements or other documents required by the Act and the rules and regulations thereunder to be described in the Registration Statement, the Prospectus and the Pricing Disclosure Package or to be filed with the Commission as exhibits to the Registration Statement, that have not been so described or filed. Each agreement or other instrument (however characterized or described) to which the Company and any Subsidiary is a party to or by which it is or may be bound or affected and (i) that is referred to in the Registration Statement, the Prospectus and the Pricing Disclosure Package, or (ii) is material to the businesses of the Company and its Subsidiaries, has been duly authorized and validly executed by the Company or its Subsidiaries, is in full force and effect and is enforceable against the Company or its Subsidiaries and, to the Company’s knowledge, the other parties thereto, in accordance with its terms, except (A) as such enforceability may be limited by bankruptcy, insolvency, reorganization or similar laws affecting creditors’ rights generally, (B) as enforceability of any indemnification or contribution provision may be limited under the federal and state securities laws, and (C) that the remedy of specific performance and injunctive and other forms of equitable relief may be subject to the equitable defenses and to the discretion of the court before which any proceeding therefore may be brought. Except as disclosed in the Registration Statement, the Prospectus and the Pricing Disclosure Package, none of such agreements or instruments has been assigned by the Company or its Subsidiaries. None of the Company, its Subsidiaries or any other party is in default thereunder and, to the best of the Company’s knowledge, no event has occurred that, with the lapse of time or the giving of notice, or both, would constitute a default thereunder. To the best of the Company’s knowledge, performance by the Company or its Subsidiaries of the material provisions of such agreements or instruments will not result in a violation of any existing applicable law, rule, regulation, judgment, order or decree of any governmental agency or court, domestic or foreign, having jurisdiction over the Company or its Subsidiaries or any of their respective assets or businesses, including, without limitation, those relating to environmental laws and regulations.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223" w:lineRule="exact"/>
        <w:rPr>
          <w:sz w:val="20"/>
          <w:szCs w:val="20"/>
          <w:color w:val="auto"/>
        </w:rPr>
      </w:pPr>
    </w:p>
    <w:p>
      <w:pPr>
        <w:jc w:val="both"/>
        <w:ind w:firstLine="656"/>
        <w:spacing w:after="0" w:line="256" w:lineRule="auto"/>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Filings</w:t>
      </w:r>
      <w:r>
        <w:rPr>
          <w:rFonts w:ascii="Times New Roman" w:cs="Times New Roman" w:eastAsia="Times New Roman" w:hAnsi="Times New Roman"/>
          <w:sz w:val="18"/>
          <w:szCs w:val="18"/>
          <w:color w:val="auto"/>
        </w:rPr>
        <w:t>. The Company will file the final Prospectus with the Commission within the time periods specified by Rule 424(b)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430A, 430B or 430C under the Securities Act, and will file any Issuer Free Writing Prospectus to the extent required by Rule 433 under the Securities Act; and the Company will file promptly all reports required to be filed by the Company with the Commission pursuant to Section 13(a), 13(c),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Representative in New York City prior to 10:00 A.M., New York City time, on the business day next succeeding the date of this Agreement in such quantities as the Representative may reasonably request.</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Copies</w:t>
      </w:r>
      <w:r>
        <w:rPr>
          <w:rFonts w:ascii="Times New Roman" w:cs="Times New Roman" w:eastAsia="Times New Roman" w:hAnsi="Times New Roman"/>
          <w:sz w:val="18"/>
          <w:szCs w:val="18"/>
          <w:color w:val="auto"/>
        </w:rPr>
        <w:t>. Upon written request of the Representative, the Company will deliver, without charge, (i) to the Representative, a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of the Registration Statement as originally filed and each amendment thereto, in each case including all exhibits and consents filed therewith (or any document to be filed with the Commission and incorporated by reference therein); and (ii) to the Representative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 may reasonably request. As used herein, the term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the Underwriters or dealer.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p>
      <w:pPr>
        <w:jc w:val="both"/>
        <w:ind w:firstLine="656"/>
        <w:spacing w:after="0" w:line="257" w:lineRule="auto"/>
        <w:tabs>
          <w:tab w:leader="none" w:pos="8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or Supplements, Issuer Free Writing Prospectuses</w:t>
      </w:r>
      <w:r>
        <w:rPr>
          <w:rFonts w:ascii="Times New Roman" w:cs="Times New Roman" w:eastAsia="Times New Roman" w:hAnsi="Times New Roman"/>
          <w:sz w:val="18"/>
          <w:szCs w:val="18"/>
          <w:color w:val="auto"/>
        </w:rPr>
        <w:t>. Before making, preparing, using, authorizing, approving, referring to or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Issuer Free Writing Prospectus, and before filing any amendment or supplement to the Registration Statement, the Pricing Disclosure Package or the Prospectus, whether before or after the time that the Registration Statement becomes effective, the Company will furnish to the Representative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 reasonably objects.</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9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to the Representative</w:t>
      </w:r>
      <w:r>
        <w:rPr>
          <w:rFonts w:ascii="Times New Roman" w:cs="Times New Roman" w:eastAsia="Times New Roman" w:hAnsi="Times New Roman"/>
          <w:sz w:val="18"/>
          <w:szCs w:val="18"/>
          <w:color w:val="auto"/>
        </w:rPr>
        <w:t>. The Company will advise the Representative promptly, and confirm such advice in writing, including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w:t>
      </w:r>
    </w:p>
    <w:p>
      <w:pPr>
        <w:spacing w:after="0" w:line="190"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Ongoing Compliance</w:t>
      </w:r>
      <w:r>
        <w:rPr>
          <w:rFonts w:ascii="Times New Roman" w:cs="Times New Roman" w:eastAsia="Times New Roman" w:hAnsi="Times New Roman"/>
          <w:sz w:val="18"/>
          <w:szCs w:val="18"/>
          <w:color w:val="auto"/>
        </w:rPr>
        <w:t>. (1) If during the Prospectus Delivery Period (i) any event or development shall occur or condition shall exist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Representative and to such dealers as the Underwriter may designate such amendments or supplements to the Pricing Disclosure Package as may be necessary so that the statements in the Pricing Disclosure Package (or any document to be filed with the Commission and incorporated by reference therein) as so amended or supplemented will not, in the light of the circumstances existing when the Pricing Disclosure Package is delivered to a purchaser, be misleading or so that the Pricing Disclosure Package will comply with law.</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jc w:val="both"/>
        <w:ind w:firstLine="656"/>
        <w:spacing w:after="0" w:line="258" w:lineRule="auto"/>
        <w:tabs>
          <w:tab w:leader="none" w:pos="8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Compliance</w:t>
      </w:r>
      <w:r>
        <w:rPr>
          <w:rFonts w:ascii="Times New Roman" w:cs="Times New Roman" w:eastAsia="Times New Roman" w:hAnsi="Times New Roman"/>
          <w:sz w:val="18"/>
          <w:szCs w:val="18"/>
          <w:color w:val="auto"/>
        </w:rPr>
        <w:t>. The Company will qualify the Shares for offer and sale under the securities or Blue Sky laws of such jurisdictions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shall reasonably request and will continue such qualifications in effect so long as required for distribution of the Shares; provided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Statement</w:t>
      </w:r>
      <w:r>
        <w:rPr>
          <w:rFonts w:ascii="Times New Roman" w:cs="Times New Roman" w:eastAsia="Times New Roman" w:hAnsi="Times New Roman"/>
          <w:sz w:val="18"/>
          <w:szCs w:val="18"/>
          <w:color w:val="auto"/>
        </w:rPr>
        <w:t>. The Company will make generally available (which includes filings pursuant to the Exchange Act made publicly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EDGAR system) to its security holders and the Representative as soon as practicable an earnings statement that satisfies the provisions of Section 11(a) of the Securities Act and Rule 158 of the Commission promulgated thereunder covering a period of at least twelve months beginning with the first six months of the Company occurring after the “effective date” (as defined in Rule 158) of the Registration Statement.</w:t>
      </w:r>
    </w:p>
    <w:p>
      <w:pPr>
        <w:spacing w:after="0" w:line="18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3" w:lineRule="exact"/>
        <w:rPr>
          <w:rFonts w:ascii="Times New Roman" w:cs="Times New Roman" w:eastAsia="Times New Roman" w:hAnsi="Times New Roman"/>
          <w:sz w:val="18"/>
          <w:szCs w:val="18"/>
          <w:color w:val="auto"/>
        </w:rPr>
      </w:pPr>
    </w:p>
    <w:p>
      <w:pPr>
        <w:ind w:firstLine="656"/>
        <w:spacing w:after="0" w:line="284" w:lineRule="auto"/>
        <w:tabs>
          <w:tab w:leader="none" w:pos="8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apply the net proceeds from the sale of the Shares as described in each of the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Disclosure Package and the Prospectus under the heading “Use of Proceeds.”</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8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Neither the Company nor its subsidiaries or affiliates will take, directly or indirectly, any action designed to or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Stock and will not take any action prohibited by Regulation M under the Exchange Act in connection with the distribution of the Shares contemplated hereby.</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Company will use its reasonable best efforts to list, subject to notice of issuance, the Shares and Warrant Shares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Stock Market (“Nasdaq”).</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two years from the date hereof, the Company will furnish to the Representative, as soon as they are available,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reports or other communications (financial or other) furnished to holders of the Shares, and copies of any reports and financial statements furnished to or filed with the Commission or any national securities exchange or automatic quotation system; provided the Company will be deemed to have furnished such reports and financial statements to the Representative to the extent they are filed on the Commission’s Electronic Data Gathering, Analysis, and Retrieval system.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ind w:firstLine="656"/>
        <w:spacing w:after="0" w:line="284" w:lineRule="auto"/>
        <w:tabs>
          <w:tab w:leader="none" w:pos="9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225" w:lineRule="exact"/>
        <w:rPr>
          <w:sz w:val="20"/>
          <w:szCs w:val="20"/>
          <w:color w:val="auto"/>
        </w:rPr>
      </w:pPr>
    </w:p>
    <w:p>
      <w:pPr>
        <w:jc w:val="both"/>
        <w:ind w:firstLine="656"/>
        <w:spacing w:after="0" w:line="255" w:lineRule="auto"/>
        <w:tabs>
          <w:tab w:leader="none" w:pos="8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the Underwriters and approved by the Company in advance in writing (each such free writing prospectus referred to in clauses (i) or (iii), an “</w:t>
      </w:r>
      <w:r>
        <w:rPr>
          <w:rFonts w:ascii="Times New Roman" w:cs="Times New Roman" w:eastAsia="Times New Roman" w:hAnsi="Times New Roman"/>
          <w:sz w:val="18"/>
          <w:szCs w:val="18"/>
          <w:b w:val="1"/>
          <w:bCs w:val="1"/>
          <w:color w:val="auto"/>
        </w:rPr>
        <w:t>Underwriter Free Writing Prospectus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 provided that Underwriters may use a term sheet substantially in the form of Annex C hereto without the consent of the Company; provided further that any Underwriter using such term sheet shall notify the Company, and provide a copy of such term sheet to the Company, prior to, or substantially concurrently with, the first use of such term sheet.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take any action that would result in the Company being required to file with the Commission under Rule 433(d) a free writing prospectus prepared by or on behalf of such Underwriter that otherwise would not be required to be filed by the Company thereunder, but for the action of such Underwriter.</w:t>
      </w:r>
    </w:p>
    <w:p>
      <w:pPr>
        <w:spacing w:after="0" w:line="176" w:lineRule="exact"/>
        <w:rPr>
          <w:sz w:val="20"/>
          <w:szCs w:val="20"/>
          <w:color w:val="auto"/>
        </w:rPr>
      </w:pPr>
    </w:p>
    <w:p>
      <w:pPr>
        <w:ind w:firstLine="656"/>
        <w:spacing w:after="0" w:line="282"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 of the Underwriters to purchase the Shares on the Closing Date as provided herein is subject to the performance by the Company of its covenants and other obligations hereunder and to the following additional conditions:</w:t>
      </w:r>
    </w:p>
    <w:p>
      <w:pPr>
        <w:spacing w:after="0" w:line="160" w:lineRule="exact"/>
        <w:rPr>
          <w:sz w:val="20"/>
          <w:szCs w:val="20"/>
          <w:color w:val="auto"/>
        </w:rPr>
      </w:pPr>
    </w:p>
    <w:p>
      <w:pPr>
        <w:jc w:val="both"/>
        <w:ind w:firstLine="656"/>
        <w:spacing w:after="0" w:line="258" w:lineRule="auto"/>
        <w:tabs>
          <w:tab w:leader="none" w:pos="9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Compliance; No Stop Order</w:t>
      </w:r>
      <w:r>
        <w:rPr>
          <w:rFonts w:ascii="Times New Roman" w:cs="Times New Roman" w:eastAsia="Times New Roman" w:hAnsi="Times New Roman"/>
          <w:sz w:val="18"/>
          <w:szCs w:val="18"/>
          <w:color w:val="auto"/>
        </w:rPr>
        <w:t>. 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9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the Closing Date and the statements of the Company and its officers made in any certificates delivered pursuant to this Agreement shall be true and correct on and as of the Closing Date.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jc w:val="both"/>
        <w:ind w:firstLine="656"/>
        <w:spacing w:after="0" w:line="258" w:lineRule="auto"/>
        <w:tabs>
          <w:tab w:leader="none" w:pos="8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No event or condition of a type described in Section 3(h) hereof shall have occurred or shall exist, which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Shares on the Closing Date on the terms and in the manner contemplated by this Agreement, the Pricing Disclosure Package and the Prospectus.</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Representative shall have received on and as of the Closing Date a certificate of the chief financial officer or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the Company (i) confirming that such officer has carefully reviewed the Registration Statement, the Pricing Disclosure Package and the Prospectus and, to the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(b) and (c) above.</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Incumbency Certificate</w:t>
      </w:r>
      <w:r>
        <w:rPr>
          <w:rFonts w:ascii="Times New Roman" w:cs="Times New Roman" w:eastAsia="Times New Roman" w:hAnsi="Times New Roman"/>
          <w:sz w:val="18"/>
          <w:szCs w:val="18"/>
          <w:color w:val="auto"/>
        </w:rPr>
        <w:t>. On the Closing Date, the Underwriters shall have received a certificate of the Company signed by a duly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the Company, dated as of the Closing Date certifying: (i) that each of the Charter Documents of the Company is true and complete, has not been modified and is in full force and effect, (ii) that the resolutions of the Company’s Board of Directors relating to the Offering are in full force and effect and have not been modified, (iii) the good standing of the Company and its Subsidiaries, and (iv) as to the incumbency of the officers of the Company. The documents referred to in such certificate shall be attached to such certificate.</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Comfort Letters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Audit Alliance LLP shall have furnished to the Representative, at the request of the Company, letters, dated the respective dates of delivery thereof and addressed to the Representative, in form and substance reasonably satisfactory to the Representative,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shall use a “cut-off” date no more than two business days prior to such Closing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the Company shall have furnished to the Representative a certificate, dated the respective dates of delivery thereof and addressed to the Representative, of its chief financial officer with respect to certain financial data contained in the Pricing Disclosure Package and the Prospectus, providing “management comfort” with respect to such information, in form and substance reasonably satisfactory to the Representative.</w:t>
      </w:r>
    </w:p>
    <w:p>
      <w:pPr>
        <w:spacing w:after="0" w:line="177" w:lineRule="exact"/>
        <w:rPr>
          <w:rFonts w:ascii="Times New Roman" w:cs="Times New Roman" w:eastAsia="Times New Roman" w:hAnsi="Times New Roman"/>
          <w:sz w:val="18"/>
          <w:szCs w:val="18"/>
          <w:color w:val="auto"/>
        </w:rPr>
      </w:pPr>
    </w:p>
    <w:p>
      <w:pPr>
        <w:jc w:val="both"/>
        <w:ind w:firstLine="656"/>
        <w:spacing w:after="0" w:line="267" w:lineRule="auto"/>
        <w:tabs>
          <w:tab w:leader="none" w:pos="9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and Negative Assurance Letter of Counsel for the Company</w:t>
      </w:r>
      <w:r>
        <w:rPr>
          <w:rFonts w:ascii="Times New Roman" w:cs="Times New Roman" w:eastAsia="Times New Roman" w:hAnsi="Times New Roman"/>
          <w:sz w:val="18"/>
          <w:szCs w:val="18"/>
          <w:color w:val="auto"/>
        </w:rPr>
        <w:t>. Harney Westwood &amp; Riegels Singapore LLP and Loeb &amp; Loeb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for the Company, shall have furnished to the Representative, at the request of the Company, their written opinions and negative assurance letter, dated the Closing Date and addressed to the Representative, in form and substance reasonably satisfactory to the Representative.</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Legal Impediment to Issuance and Sale</w:t>
      </w:r>
      <w:r>
        <w:rPr>
          <w:rFonts w:ascii="Times New Roman" w:cs="Times New Roman" w:eastAsia="Times New Roman" w:hAnsi="Times New Roman"/>
          <w:sz w:val="18"/>
          <w:szCs w:val="18"/>
          <w:color w:val="auto"/>
        </w:rPr>
        <w:t>. No action shall have been taken and no statute, rule, regulation or order shall have been enacted,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issued by any federal, state or foreign governmental or regulatory authority that would, as of the Closing Date, prevent the issuance or sale of the Shares; and no injunction or order of any federal, state or foreign court shall have been issued that would, as of the Closing Date, prevent the issuance or sale of the Shares.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ind w:firstLine="656"/>
        <w:spacing w:after="0" w:line="284" w:lineRule="auto"/>
        <w:tabs>
          <w:tab w:leader="none" w:pos="8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Company file a Listing of Additional Shares Notification Form with Nasdaq with respect to the Shares and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no objection thereto from Nasdaq.</w:t>
      </w:r>
    </w:p>
    <w:p>
      <w:pPr>
        <w:spacing w:after="0" w:line="158" w:lineRule="exact"/>
        <w:rPr>
          <w:rFonts w:ascii="Times New Roman" w:cs="Times New Roman" w:eastAsia="Times New Roman" w:hAnsi="Times New Roman"/>
          <w:sz w:val="18"/>
          <w:szCs w:val="18"/>
          <w:color w:val="auto"/>
        </w:rPr>
      </w:pPr>
    </w:p>
    <w:p>
      <w:pPr>
        <w:ind w:right="20" w:firstLine="656"/>
        <w:spacing w:after="0" w:line="284" w:lineRule="auto"/>
        <w:tabs>
          <w:tab w:leader="none" w:pos="8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FINRA</w:t>
      </w:r>
      <w:r>
        <w:rPr>
          <w:rFonts w:ascii="Times New Roman" w:cs="Times New Roman" w:eastAsia="Times New Roman" w:hAnsi="Times New Roman"/>
          <w:sz w:val="18"/>
          <w:szCs w:val="18"/>
          <w:color w:val="auto"/>
        </w:rPr>
        <w:t>. FINRA shall not have raised any objection with respect to the fairness or reasonableness of the underwriting or other arrangements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transactions contemplated hereunder.</w:t>
      </w:r>
    </w:p>
    <w:p>
      <w:pPr>
        <w:spacing w:after="0" w:line="160"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have been taken and no statute, rule, regulation or order shall have been enacted, adopted or issued by any federal, state or foreign governmental or regulatory authority that would, as of the Closing Date, prevent the issuance or sale of the Shares, and no injunction or order of any federal, state or foreign court shall have been issued that would, as of the Closing Date, prevent the issuance or sale of the Shares or materially and adversely affect or potentially materially and adversely affect the business or operations of the Company.</w:t>
      </w:r>
    </w:p>
    <w:p>
      <w:pPr>
        <w:spacing w:after="0" w:line="17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Underwriter’s Warrant</w:t>
      </w:r>
      <w:r>
        <w:rPr>
          <w:rFonts w:ascii="Times New Roman" w:cs="Times New Roman" w:eastAsia="Times New Roman" w:hAnsi="Times New Roman"/>
          <w:sz w:val="18"/>
          <w:szCs w:val="18"/>
          <w:color w:val="auto"/>
        </w:rPr>
        <w:t>. On the Closing Date the Company shall issue the Underwriter’s Warrant to the Underwriters.</w:t>
      </w:r>
    </w:p>
    <w:p>
      <w:pPr>
        <w:spacing w:after="0" w:line="225" w:lineRule="exact"/>
        <w:rPr>
          <w:rFonts w:ascii="Times New Roman" w:cs="Times New Roman" w:eastAsia="Times New Roman" w:hAnsi="Times New Roman"/>
          <w:sz w:val="18"/>
          <w:szCs w:val="18"/>
          <w:color w:val="auto"/>
        </w:rPr>
      </w:pPr>
    </w:p>
    <w:p>
      <w:pPr>
        <w:ind w:firstLine="656"/>
        <w:spacing w:after="0" w:line="284" w:lineRule="auto"/>
        <w:tabs>
          <w:tab w:leader="none" w:pos="9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On or prior to the Closing Date, the Company shall have furnished to the Representative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Representative may reasonably request.</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2" w:lineRule="auto"/>
        <w:tabs>
          <w:tab w:leader="none" w:pos="9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Underwriters</w:t>
      </w:r>
      <w:r>
        <w:rPr>
          <w:rFonts w:ascii="Times New Roman" w:cs="Times New Roman" w:eastAsia="Times New Roman" w:hAnsi="Times New Roman"/>
          <w:sz w:val="18"/>
          <w:szCs w:val="18"/>
          <w:color w:val="auto"/>
        </w:rPr>
        <w:t>. 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the Underwriter through the Representative expressly for use therein, it being understood and agreed that the only such information furnished by any Underwriter consists of the information described as such in paragraph 7(b) below.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3" w:name="page24"/>
    <w:bookmarkEnd w:id="23"/>
    <w:p>
      <w:pPr>
        <w:jc w:val="both"/>
        <w:ind w:firstLine="656"/>
        <w:spacing w:after="0" w:line="253" w:lineRule="auto"/>
        <w:tabs>
          <w:tab w:leader="none" w:pos="9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Company</w:t>
      </w:r>
      <w:r>
        <w:rPr>
          <w:rFonts w:ascii="Times New Roman" w:cs="Times New Roman" w:eastAsia="Times New Roman" w:hAnsi="Times New Roman"/>
          <w:sz w:val="18"/>
          <w:szCs w:val="18"/>
          <w:color w:val="auto"/>
        </w:rPr>
        <w:t>. Each Underwriter agrees, severally and not jointly,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7(a)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(i) the concession figures appearing in the first sentence of the first paragraph under the heading “Discount and expenses” (ii) paragraphs one, two and three under the caption “Price Stabilization, Short Position and Penalty Bids”, (iii) the first sentence under “Passive Market Making” and (iv) the second, third and fourth sentence in the first paragraph under “Electronic Offer, Sale and Distribution of Ordinary Shares.”</w:t>
      </w:r>
    </w:p>
    <w:p>
      <w:pPr>
        <w:spacing w:after="0" w:line="191" w:lineRule="exact"/>
        <w:rPr>
          <w:rFonts w:ascii="Times New Roman" w:cs="Times New Roman" w:eastAsia="Times New Roman" w:hAnsi="Times New Roman"/>
          <w:sz w:val="18"/>
          <w:szCs w:val="18"/>
          <w:color w:val="auto"/>
        </w:rPr>
      </w:pPr>
    </w:p>
    <w:p>
      <w:pPr>
        <w:jc w:val="both"/>
        <w:ind w:firstLine="656"/>
        <w:spacing w:after="0" w:line="251" w:lineRule="auto"/>
        <w:tabs>
          <w:tab w:leader="none" w:pos="9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and Procedures</w:t>
      </w:r>
      <w:r>
        <w:rPr>
          <w:rFonts w:ascii="Times New Roman" w:cs="Times New Roman" w:eastAsia="Times New Roman" w:hAnsi="Times New Roman"/>
          <w:sz w:val="18"/>
          <w:szCs w:val="18"/>
          <w:color w:val="auto"/>
        </w:rPr>
        <w:t>. 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or asserted against any person in respect of which indemnification may be sought pursuant to the preceding paragraphs of this Section 7, such person (the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notify the person against whom such indemnification may be sought (the “</w:t>
      </w:r>
      <w:r>
        <w:rPr>
          <w:rFonts w:ascii="Times New Roman" w:cs="Times New Roman" w:eastAsia="Times New Roman" w:hAnsi="Times New Roman"/>
          <w:sz w:val="18"/>
          <w:szCs w:val="18"/>
          <w:b w:val="1"/>
          <w:bCs w:val="1"/>
          <w:color w:val="auto"/>
        </w:rPr>
        <w:t>Indemnifying Person</w:t>
      </w:r>
      <w:r>
        <w:rPr>
          <w:rFonts w:ascii="Times New Roman" w:cs="Times New Roman" w:eastAsia="Times New Roman" w:hAnsi="Times New Roman"/>
          <w:sz w:val="18"/>
          <w:szCs w:val="18"/>
          <w:color w:val="auto"/>
        </w:rPr>
        <w:t>”) in writing; provided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provided, further,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in good faith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4" w:name="page25"/>
    <w:bookmarkEnd w:id="24"/>
    <w:p>
      <w:pPr>
        <w:jc w:val="both"/>
        <w:ind w:firstLine="656"/>
        <w:spacing w:after="0" w:line="253" w:lineRule="auto"/>
        <w:tabs>
          <w:tab w:leader="none" w:pos="91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If the indemnification provided for in paragraphs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The Company and the Underwriters agree that it would not be just and equitable if contribution pursuant to paragraph</w:t>
      </w:r>
    </w:p>
    <w:p>
      <w:pPr>
        <w:spacing w:after="0" w:line="29"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were determined by pro rata allocation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1" w:lineRule="exact"/>
        <w:rPr>
          <w:rFonts w:ascii="Times New Roman" w:cs="Times New Roman" w:eastAsia="Times New Roman" w:hAnsi="Times New Roman"/>
          <w:sz w:val="18"/>
          <w:szCs w:val="18"/>
          <w:color w:val="auto"/>
        </w:rPr>
      </w:pPr>
    </w:p>
    <w:p>
      <w:pPr>
        <w:ind w:firstLine="656"/>
        <w:spacing w:after="0" w:line="284" w:lineRule="auto"/>
        <w:tabs>
          <w:tab w:leader="none" w:pos="87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Non-Exclusive Remedies</w:t>
      </w:r>
      <w:r>
        <w:rPr>
          <w:rFonts w:ascii="Times New Roman" w:cs="Times New Roman" w:eastAsia="Times New Roman" w:hAnsi="Times New Roman"/>
          <w:sz w:val="18"/>
          <w:szCs w:val="18"/>
          <w:color w:val="auto"/>
        </w:rPr>
        <w:t>. The remedies provided for in this Section 7 paragraphs (a) through (e) are not exclusive and shall not limit any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remedies which may otherwise be available to any Indemnified Person at law or in equity.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5" w:name="page26"/>
    <w:bookmarkEnd w:id="25"/>
    <w:p>
      <w:pPr>
        <w:ind w:right="20" w:firstLine="656"/>
        <w:spacing w:after="0" w:line="282" w:lineRule="auto"/>
        <w:tabs>
          <w:tab w:leader="none" w:pos="8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 upon the execution and delivery hereof by the parties hereto.</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on or prior to the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Shares on the Closing Date on the terms and in the manner contemplated by this Agreement, the Pricing Disclosure Package and the Prospectus.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in the event that this Agreement is terminated, the Company shall be obligated to pay to the Underwriters their actual and accountable out-of-pocket expenses (including the fees and disbursements of the Underwriters’ legal counsel) and, if applicable, for electronic road show service used in connection with the Offering.</w:t>
      </w:r>
    </w:p>
    <w:p>
      <w:pPr>
        <w:spacing w:after="0" w:line="176" w:lineRule="exact"/>
        <w:rPr>
          <w:sz w:val="20"/>
          <w:szCs w:val="20"/>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656"/>
        <w:spacing w:after="0" w:line="255"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exceeds one-eleventh of the aggregate amount of Shares to be purchased on such date,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(other than with respect to the defaulting Underwriter(s)) and except that the provisions of Section 7 hereof shall not terminate and shall remain in effect.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2" w:lineRule="exact"/>
        <w:rPr>
          <w:sz w:val="20"/>
          <w:szCs w:val="20"/>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 Tail</w:t>
      </w:r>
    </w:p>
    <w:p>
      <w:pPr>
        <w:spacing w:after="0" w:line="223" w:lineRule="exact"/>
        <w:rPr>
          <w:sz w:val="20"/>
          <w:szCs w:val="20"/>
          <w:color w:val="auto"/>
        </w:rPr>
      </w:pPr>
    </w:p>
    <w:p>
      <w:pPr>
        <w:ind w:firstLine="656"/>
        <w:spacing w:after="0" w:line="284" w:lineRule="auto"/>
        <w:tabs>
          <w:tab w:leader="none" w:pos="8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Expenses. </w:t>
      </w:r>
      <w:r>
        <w:rPr>
          <w:rFonts w:ascii="Times New Roman" w:cs="Times New Roman" w:eastAsia="Times New Roman" w:hAnsi="Times New Roman"/>
          <w:sz w:val="18"/>
          <w:szCs w:val="18"/>
          <w:color w:val="auto"/>
        </w:rPr>
        <w:t>In addition to any compensation hereunder, the Company shall pay to the Underwriter or its designee(s)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with respect to the Shares purchased from the Company in this Offering:</w:t>
      </w:r>
    </w:p>
    <w:p>
      <w:pPr>
        <w:spacing w:after="0" w:line="160"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non-accountable expense allowance of one percent (1.0%) of the gross proceeds (Public Offering Price x the number of Shares sold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Offering);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$75,000 for fees and expenses of legal counsel and other out-of-pocket accountable expenses and, if applicable, the costs associated with the use of a third-party electronic road show service of which $37,500 has already been paid to the Underwriter as an advance against accountable expenses.</w:t>
      </w:r>
    </w:p>
    <w:p>
      <w:pPr>
        <w:spacing w:after="0" w:line="173" w:lineRule="exact"/>
        <w:rPr>
          <w:rFonts w:ascii="Times New Roman" w:cs="Times New Roman" w:eastAsia="Times New Roman" w:hAnsi="Times New Roman"/>
          <w:sz w:val="18"/>
          <w:szCs w:val="18"/>
          <w:color w:val="auto"/>
        </w:rPr>
      </w:pPr>
    </w:p>
    <w:p>
      <w:pPr>
        <w:jc w:val="both"/>
        <w:ind w:firstLine="656"/>
        <w:spacing w:after="0" w:line="256" w:lineRule="auto"/>
        <w:tabs>
          <w:tab w:leader="none" w:pos="9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Tail</w:t>
      </w:r>
      <w:r>
        <w:rPr>
          <w:rFonts w:ascii="Times New Roman" w:cs="Times New Roman" w:eastAsia="Times New Roman" w:hAnsi="Times New Roman"/>
          <w:sz w:val="18"/>
          <w:szCs w:val="18"/>
          <w:color w:val="auto"/>
        </w:rPr>
        <w:t>. The Representative shall be entitled to compensation in an amount equal to 7.5% of the aggregate gross proceeds and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under paragraph (a) with respect to any public or private offering or other financing or capital-raising transaction of any kind by the Company (“</w:t>
      </w:r>
      <w:r>
        <w:rPr>
          <w:rFonts w:ascii="Times New Roman" w:cs="Times New Roman" w:eastAsia="Times New Roman" w:hAnsi="Times New Roman"/>
          <w:sz w:val="18"/>
          <w:szCs w:val="18"/>
          <w:b w:val="1"/>
          <w:bCs w:val="1"/>
          <w:color w:val="auto"/>
        </w:rPr>
        <w:t>Tail Financing</w:t>
      </w:r>
      <w:r>
        <w:rPr>
          <w:rFonts w:ascii="Times New Roman" w:cs="Times New Roman" w:eastAsia="Times New Roman" w:hAnsi="Times New Roman"/>
          <w:sz w:val="18"/>
          <w:szCs w:val="18"/>
          <w:color w:val="auto"/>
        </w:rPr>
        <w:t>”) to the extent that any capital or funds in such Tail Financing is provided to the Company directly or indirectly by investors whom the Underwriters or its affiliates had contacted during the Term (as defined in that certain letter agreement dated March 11, 2026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between the Representative and the Company) or introduced to the Company during the Term, if such Tail Financing is consummated at any time within the I2-month period following the expiration or termination of the Letter Agreement. This Section 11.(b) is subject to the rights of the Company pursuant to FINRA Rule 5110 (g)(5)(B)(i).</w:t>
      </w:r>
    </w:p>
    <w:p>
      <w:pPr>
        <w:spacing w:after="0" w:line="185" w:lineRule="exact"/>
        <w:rPr>
          <w:sz w:val="20"/>
          <w:szCs w:val="20"/>
          <w:color w:val="auto"/>
        </w:rPr>
      </w:pPr>
    </w:p>
    <w:p>
      <w:pPr>
        <w:jc w:val="both"/>
        <w:ind w:firstLine="656"/>
        <w:spacing w:after="0" w:line="258" w:lineRule="auto"/>
        <w:tabs>
          <w:tab w:leader="none" w:pos="9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the Underwriters referred to in Section 7 hereof. Nothing in this Agreement is intended or shall be construed to give any other person any legal or equitable right, remedy or claim under or in respect of this Agreement or any provision contained herein. No purchaser of Shares from the Underwriters shall be deemed to be a successor merely by reason of such purchase.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56"/>
        <w:spacing w:after="0" w:line="258" w:lineRule="auto"/>
        <w:tabs>
          <w:tab w:leader="none" w:pos="9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9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405 under the Securities Act; (b)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day on which banks are permitted or required to be closed in New York City; (c) 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has the meaning set forth in Rule 405 under the Securities Act; and (d) the term “</w:t>
      </w:r>
      <w:r>
        <w:rPr>
          <w:rFonts w:ascii="Times New Roman" w:cs="Times New Roman" w:eastAsia="Times New Roman" w:hAnsi="Times New Roman"/>
          <w:sz w:val="18"/>
          <w:szCs w:val="18"/>
          <w:b w:val="1"/>
          <w:b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has the meaning set forth in Rule 1-02 of Regulation S-X under the Exchange Act.</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clients, including the Company, which information may include the name and address of its clients, as well as other information that will allow the Underwriters to properly identify their clients.</w:t>
      </w:r>
    </w:p>
    <w:p>
      <w:pPr>
        <w:spacing w:after="0" w:line="17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4" w:lineRule="auto"/>
        <w:tabs>
          <w:tab w:leader="none" w:pos="9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parties as follows: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Underwriters, to the Representative 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Network 1 Financial Securities,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Bridge Avenue, Suite 241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 Bank, NJ 07701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Adam Pasholk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E-email: </w:t>
      </w:r>
      <w:r>
        <w:rPr>
          <w:rFonts w:ascii="Times New Roman" w:cs="Times New Roman" w:eastAsia="Times New Roman" w:hAnsi="Times New Roman"/>
          <w:sz w:val="18"/>
          <w:szCs w:val="18"/>
          <w:u w:val="single" w:color="auto"/>
          <w:color w:val="auto"/>
        </w:rPr>
        <w:t>adampasholk@netw1.com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Lewis Brisbois Bisgaard &amp; Smith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 Fremont Street, Suite 3000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John P. Yung; Daniel B. Eng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John.Yung@LewisBrisbois.com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Daniel.Eng@Lewisbrisbois.com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Simpple Ltd.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Block G #01-00, BCA Academy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Braddell Rd, Singapore 579700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Ayer Rajah Crescent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#03-07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Singapore 139951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Kelvin Lee, Executive Chairman and Director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kelvin@simpple.ai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2206-19 Jardine House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Connaught Road Central</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Hong Kong SAR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Lawrence S. Venick, Esq.</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lvenick@loeb.com</w:t>
      </w:r>
    </w:p>
    <w:p>
      <w:pPr>
        <w:spacing w:after="0" w:line="205" w:lineRule="exact"/>
        <w:rPr>
          <w:sz w:val="20"/>
          <w:szCs w:val="20"/>
          <w:color w:val="auto"/>
        </w:rPr>
      </w:pPr>
    </w:p>
    <w:p>
      <w:pPr>
        <w:ind w:left="-20" w:firstLine="656"/>
        <w:spacing w:after="0" w:line="284" w:lineRule="auto"/>
        <w:tabs>
          <w:tab w:leader="none" w:pos="8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8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83" w:lineRule="exact"/>
        <w:rPr>
          <w:rFonts w:ascii="Times New Roman" w:cs="Times New Roman" w:eastAsia="Times New Roman" w:hAnsi="Times New Roman"/>
          <w:sz w:val="18"/>
          <w:szCs w:val="18"/>
          <w:color w:val="auto"/>
        </w:rPr>
      </w:pPr>
    </w:p>
    <w:p>
      <w:pPr>
        <w:ind w:left="-20" w:firstLine="656"/>
        <w:spacing w:after="0" w:line="284" w:lineRule="auto"/>
        <w:tabs>
          <w:tab w:leader="none" w:pos="8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60" w:lineRule="exact"/>
        <w:rPr>
          <w:rFonts w:ascii="Times New Roman" w:cs="Times New Roman" w:eastAsia="Times New Roman" w:hAnsi="Times New Roman"/>
          <w:sz w:val="18"/>
          <w:szCs w:val="18"/>
          <w:color w:val="auto"/>
        </w:rPr>
      </w:pPr>
    </w:p>
    <w:p>
      <w:pPr>
        <w:ind w:left="880" w:hanging="244"/>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3"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9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20" w:right="20" w:firstLine="656"/>
        <w:spacing w:after="0" w:line="284" w:lineRule="auto"/>
        <w:tabs>
          <w:tab w:leader="none" w:pos="9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or Waivers</w:t>
      </w:r>
      <w:r>
        <w:rPr>
          <w:rFonts w:ascii="Times New Roman" w:cs="Times New Roman" w:eastAsia="Times New Roman" w:hAnsi="Times New Roman"/>
          <w:sz w:val="18"/>
          <w:szCs w:val="18"/>
          <w:color w:val="auto"/>
        </w:rPr>
        <w:t>. 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20" w:firstLine="656"/>
        <w:spacing w:after="0" w:line="284" w:lineRule="auto"/>
        <w:tabs>
          <w:tab w:leader="none" w:pos="8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rFonts w:ascii="Times New Roman" w:cs="Times New Roman" w:eastAsia="Times New Roman" w:hAnsi="Times New Roman"/>
          <w:sz w:val="18"/>
          <w:szCs w:val="18"/>
          <w:color w:val="auto"/>
        </w:rPr>
      </w:pPr>
    </w:p>
    <w:p>
      <w:pPr>
        <w:ind w:left="-20" w:firstLine="656"/>
        <w:spacing w:after="0" w:line="284" w:lineRule="auto"/>
        <w:tabs>
          <w:tab w:leader="none" w:pos="8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validity or enforceability of any other Section, paragraph, or provision 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Simpple Ltd.</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Kelvin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Kelvin Lee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Chairman and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 – Simpple Ltd. Signature Page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1 FINANCIAL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listed in Schedule 1 hereto</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Damon Testaverde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Damon Testaverde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Investment Banking</w:t>
      </w:r>
    </w:p>
    <w:p>
      <w:pPr>
        <w:spacing w:after="0" w:line="20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8"/>
          <w:szCs w:val="18"/>
          <w:color w:val="auto"/>
        </w:rPr>
        <w:t>Underwriting Agreement – Network 1 Financial Securities, Inc.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Schedule 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Underwriter</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w:t>
            </w:r>
          </w:p>
        </w:tc>
        <w:tc>
          <w:tcPr>
            <w:tcW w:w="4500" w:type="dxa"/>
            <w:vAlign w:val="bottom"/>
          </w:tcPr>
          <w:p>
            <w:pPr>
              <w:spacing w:after="0"/>
              <w:rPr>
                <w:sz w:val="20"/>
                <w:szCs w:val="20"/>
                <w:color w:val="auto"/>
              </w:rPr>
            </w:pPr>
          </w:p>
        </w:tc>
      </w:tr>
      <w:tr>
        <w:trPr>
          <w:trHeight w:val="210"/>
        </w:trPr>
        <w:tc>
          <w:tcPr>
            <w:tcW w:w="4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29"/>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1 Financial Securities, Inc.</w:t>
            </w: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4,000,000</w:t>
            </w:r>
          </w:p>
        </w:tc>
        <w:tc>
          <w:tcPr>
            <w:tcW w:w="4500" w:type="dxa"/>
            <w:vAlign w:val="bottom"/>
          </w:tcPr>
          <w:p>
            <w:pPr>
              <w:spacing w:after="0"/>
              <w:rPr>
                <w:sz w:val="19"/>
                <w:szCs w:val="19"/>
                <w:color w:val="auto"/>
              </w:rPr>
            </w:pPr>
          </w:p>
        </w:tc>
      </w:tr>
      <w:tr>
        <w:trPr>
          <w:trHeight w:val="22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14"/>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Schedule 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Subsidiaries</w:t>
            </w:r>
          </w:p>
        </w:tc>
      </w:tr>
      <w:tr>
        <w:trPr>
          <w:trHeight w:val="43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Subsidiary</w:t>
            </w:r>
          </w:p>
        </w:tc>
        <w:tc>
          <w:tcPr>
            <w:tcW w:w="1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41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IFSC Pte. Ltd.</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Gaussian Robotics Pte. Ltd.</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Simpple Pte. Ltd.</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432"/>
        </w:trPr>
        <w:tc>
          <w:tcPr>
            <w:tcW w:w="3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1" w:lineRule="exact"/>
        <w:rPr>
          <w:sz w:val="20"/>
          <w:szCs w:val="20"/>
          <w:color w:val="auto"/>
        </w:rPr>
      </w:pPr>
    </w:p>
    <w:p>
      <w:pPr>
        <w:ind w:left="660" w:right="8500" w:hanging="652"/>
        <w:spacing w:after="0" w:line="50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Disclosure Package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660" w:right="6500" w:hanging="652"/>
        <w:spacing w:after="0" w:line="503"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Information Provided Orally by Underwriter </w:t>
      </w:r>
      <w:r>
        <w:rPr>
          <w:rFonts w:ascii="Times New Roman" w:cs="Times New Roman" w:eastAsia="Times New Roman" w:hAnsi="Times New Roman"/>
          <w:sz w:val="18"/>
          <w:szCs w:val="18"/>
          <w:color w:val="auto"/>
        </w:rPr>
        <w:t>Underwritten Shares: 4,000,000 shares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Price Per Share: $1.25</w:t>
      </w:r>
    </w:p>
    <w:p>
      <w:pPr>
        <w:spacing w:after="0" w:line="221" w:lineRule="exact"/>
        <w:rPr>
          <w:rFonts w:ascii="Times New Roman" w:cs="Times New Roman" w:eastAsia="Times New Roman" w:hAnsi="Times New Roman"/>
          <w:sz w:val="18"/>
          <w:szCs w:val="18"/>
          <w:color w:val="auto"/>
        </w:rPr>
      </w:pPr>
    </w:p>
    <w:p>
      <w:pPr>
        <w:ind w:left="660" w:right="8200" w:hanging="652"/>
        <w:spacing w:after="0" w:line="537"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Issuer Free Writing Prospectus </w:t>
      </w: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Simpple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Pricing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Annex D</w:t>
      </w:r>
    </w:p>
    <w:p>
      <w:pPr>
        <w:spacing w:after="0" w:line="22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Form of Underwriter’s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7" w:name="page38"/>
    <w:bookmarkEnd w:id="37"/>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REGISTERED HOLDER OF THIS PURCHASE WARRANT AGREES BY HIS, HER OR ITS ACCEPTANCE HEREOF, THAT SUCH HOLDER WILL NOT FOR A PERIOD OF ONE HUNDRED EIGHTY (180) DAYS BEGINNING ON THE DATE OF COMMENCEMENT OF SALE OF THE OFFERING PURSUANT TO THE REGISTRATION STATEMENT NO.: 333-291085 AS FILED WITH THE SECURITIES AND EXCHANGE COMMISSION: (A) SELL, TRANSFER, ASSIGN, PLEDGE OR HYPOTHECATE THIS PURCHASE WARRANT TO ANYONE OTHER THAN OFFICERS OR PARTNERS OF NETWORK 1 FINANCIAL SECURITIES, INC., EACH OF WHOM SHALL HAVE AGREED TO THE RESTRICTIONS CONTAINED HEREIN, IN ACCORDANCE WITH FINRA CONDUCT RULE 5110(E)(1), OR (B) CAUSE THIS PURCHASE WARRANT OR THE SECURITIES ISSUABLE HEREUNDER TO BE THE SUBJECT OF ANY HEDGING, SHORT SALE, DERIVATIVE, PUT OR CALL TRANSACTION THAT WOULD RESULT IN THE EFFECTIVE ECONOMIC DISPOSITION OF THIS PURCHASE WARRANT OR THE SECURITIES HEREUNDER, EXCEPT AS PROVIDED FOR IN FINRA RULE 5110(E)(2).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VOID AFTER 5:00 P.M., EASTERN TIME, April 1, 2031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ORDINARY SHARE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Purchase of 300,000 Ordinary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SIMPPLE LTD.</w:t>
      </w:r>
    </w:p>
    <w:p>
      <w:pPr>
        <w:spacing w:after="0" w:line="221" w:lineRule="exact"/>
        <w:rPr>
          <w:sz w:val="20"/>
          <w:szCs w:val="20"/>
          <w:color w:val="auto"/>
        </w:rPr>
      </w:pPr>
    </w:p>
    <w:p>
      <w:pPr>
        <w:jc w:val="both"/>
        <w:ind w:firstLine="8"/>
        <w:spacing w:after="0" w:line="253"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Warrant</w:t>
      </w:r>
      <w:r>
        <w:rPr>
          <w:rFonts w:ascii="Times New Roman" w:cs="Times New Roman" w:eastAsia="Times New Roman" w:hAnsi="Times New Roman"/>
          <w:sz w:val="18"/>
          <w:szCs w:val="18"/>
          <w:color w:val="auto"/>
        </w:rPr>
        <w:t>. THIS ORDINARY SHARE PURCHASE WARRANT (this “</w:t>
      </w:r>
      <w:r>
        <w:rPr>
          <w:rFonts w:ascii="Times New Roman" w:cs="Times New Roman" w:eastAsia="Times New Roman" w:hAnsi="Times New Roman"/>
          <w:sz w:val="18"/>
          <w:szCs w:val="18"/>
          <w:b w:val="1"/>
          <w:bCs w:val="1"/>
          <w:color w:val="auto"/>
        </w:rPr>
        <w:t>Purchase Warrant</w:t>
      </w:r>
      <w:r>
        <w:rPr>
          <w:rFonts w:ascii="Times New Roman" w:cs="Times New Roman" w:eastAsia="Times New Roman" w:hAnsi="Times New Roman"/>
          <w:sz w:val="18"/>
          <w:szCs w:val="18"/>
          <w:color w:val="auto"/>
        </w:rPr>
        <w:t>”) certifies that, pursuant to that certain Underwriting Agreement by and between Simpple Ltd., an exempted company duly incorporated with limited liability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Network 1 Financial Securities, Inc. (“</w:t>
      </w:r>
      <w:r>
        <w:rPr>
          <w:rFonts w:ascii="Times New Roman" w:cs="Times New Roman" w:eastAsia="Times New Roman" w:hAnsi="Times New Roman"/>
          <w:sz w:val="18"/>
          <w:szCs w:val="18"/>
          <w:b w:val="1"/>
          <w:bCs w:val="1"/>
          <w:color w:val="auto"/>
        </w:rPr>
        <w:t>Network 1</w:t>
      </w:r>
      <w:r>
        <w:rPr>
          <w:rFonts w:ascii="Times New Roman" w:cs="Times New Roman" w:eastAsia="Times New Roman" w:hAnsi="Times New Roman"/>
          <w:sz w:val="18"/>
          <w:szCs w:val="18"/>
          <w:color w:val="auto"/>
        </w:rPr>
        <w:t>”), dated March 31, 2026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Network 1 (in such capacity with its permitted successors or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registered owner of this Purchase Warrant, is entitled, at any time or from time to time from April 1, 2026 (the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and at or before 5:00 p.m., Eastern time, April 1, 2031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but not thereafter, to subscribe for, purchase and receive, in whole or in part, up to 300,000 Ordinary Shares of the Company, par value $0.0008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If the Expiration Date is a day on which banking institutions are authorized by law or executive order to close, then this Purchase Warrant may be exercised on the next succeeding day which is not such a day in accordance with the terms herein. During the period commencing on the date hereof and ending on the Expiration Date, the Company agrees not to take any action that would terminate this Purchase Warrant. This Purchase Warrant is initially exercisable at $1.5625 per Ordinary Share (125% of the price of the Shares sold in the Offering); provided, however, that upon the occurrence of any of the events specified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the rights granted by this Purchase Warrant, including the exercise price per Share and the number of Shares to be received upon such exercise, shall be adjusted as therein specified. The term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initial exercise price or the adjusted exercise price, depending on the context. Any term not defined herein shall have the meaning ascribed thereto in the Underwriting Agreement. The Purchase Warrant shall not be redeemable.</w:t>
      </w:r>
    </w:p>
    <w:p>
      <w:pPr>
        <w:spacing w:after="0" w:line="18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Exercise Form</w:t>
      </w:r>
      <w:r>
        <w:rPr>
          <w:rFonts w:ascii="Times New Roman" w:cs="Times New Roman" w:eastAsia="Times New Roman" w:hAnsi="Times New Roman"/>
          <w:sz w:val="18"/>
          <w:szCs w:val="18"/>
          <w:color w:val="auto"/>
        </w:rPr>
        <w:t xml:space="preserve">. In order to exercise this Purchase Warrant, the exercise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A (the “</w:t>
      </w:r>
      <w:r>
        <w:rPr>
          <w:rFonts w:ascii="Times New Roman" w:cs="Times New Roman" w:eastAsia="Times New Roman" w:hAnsi="Times New Roman"/>
          <w:sz w:val="18"/>
          <w:szCs w:val="18"/>
          <w:b w:val="1"/>
          <w:bCs w:val="1"/>
          <w:color w:val="auto"/>
        </w:rPr>
        <w:t>Exercise Form</w:t>
      </w:r>
      <w:r>
        <w:rPr>
          <w:rFonts w:ascii="Times New Roman" w:cs="Times New Roman" w:eastAsia="Times New Roman" w:hAnsi="Times New Roman"/>
          <w:sz w:val="18"/>
          <w:szCs w:val="18"/>
          <w:color w:val="auto"/>
        </w:rPr>
        <w:t>”) must be duly executed and completed and delivered to the Company, together with this Purchase Warrant and payment of the Exercise Price for the Shares being purchased payable in cash by wire transfer of immediately available funds to an account designated by the Company. If the subscription rights represented hereby shall not be exercised at or before 5:00 p.m., Eastern Time, on the Expiration Date, this Purchase Warrant shall become and be void without further force or effect, and all rights represented hereby shall cease and expire.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If at the time of exercise hereof there is no effective registration statement registering or the prospectus contained therein is not available for the issuance of the Shares to the Holder, then in lieu of exercising this Purchase Warrant by payment of cash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above, Holder may elect to receive the number of Shares equal to the value of this Purchase Warrant (or the portion thereof being exercised), by surrender of this Purchase Warrant to the Company, together with the Exercise Form, in which event the Company shall issue to Holder, Shares in accordance with the following formula:</w:t>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5"/>
          <w:szCs w:val="35"/>
          <w:color w:val="auto"/>
          <w:vertAlign w:val="subscript"/>
        </w:rPr>
        <w:t>X =</w:t>
      </w:r>
      <w:r>
        <w:rPr>
          <w:rFonts w:ascii="Times New Roman" w:cs="Times New Roman" w:eastAsia="Times New Roman" w:hAnsi="Times New Roman"/>
          <w:sz w:val="18"/>
          <w:szCs w:val="18"/>
          <w:color w:val="auto"/>
        </w:rPr>
        <w:t xml:space="preserve"> Y (A —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-8890</wp:posOffset>
            </wp:positionV>
            <wp:extent cx="6172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ind w:left="1340"/>
        <w:spacing w:after="0"/>
        <w:rPr>
          <w:sz w:val="20"/>
          <w:szCs w:val="20"/>
          <w:color w:val="auto"/>
        </w:rPr>
      </w:pPr>
      <w:r>
        <w:rPr>
          <w:rFonts w:ascii="Times New Roman" w:cs="Times New Roman" w:eastAsia="Times New Roman" w:hAnsi="Times New Roman"/>
          <w:sz w:val="18"/>
          <w:szCs w:val="18"/>
          <w:color w:val="auto"/>
        </w:rPr>
        <w:t>A</w:t>
      </w:r>
    </w:p>
    <w:p>
      <w:pPr>
        <w:spacing w:after="0" w:line="20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 = The number of Shares to be issued to Holder;</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Y = The number of Shares that would be issuable upon exercise of this Purchase Warrant in accordance with the terms of this Purchase Warrant if such exercise were by means of a cash exercise rather than a cashless exercise;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 The fair market value of one Share;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 The Exercise Price of this Purchase Warrant, as adjusted hereunder.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fair market value of a Share is defined as follows:</w:t>
      </w:r>
    </w:p>
    <w:p>
      <w:pPr>
        <w:spacing w:after="0" w:line="225" w:lineRule="exact"/>
        <w:rPr>
          <w:sz w:val="20"/>
          <w:szCs w:val="20"/>
          <w:color w:val="auto"/>
        </w:rPr>
      </w:pPr>
    </w:p>
    <w:p>
      <w:pPr>
        <w:ind w:right="20" w:firstLine="1304"/>
        <w:spacing w:after="0" w:line="282" w:lineRule="auto"/>
        <w:tabs>
          <w:tab w:leader="none" w:pos="15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Ordinary Share are traded on a securities exchange, the value shall be deemed to be the closing price on such exchange on the trading day immediately prior to the Exercise Form being submitted in connection with the exercise of this Purchase Warrant; 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Ordinary Share are traded over-the-counter, the value shall be deemed to be the closing bid price on the trading day immediately prior to the Exercise Form being submitted in connection with the exercise of the Purchase Warrant;</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active public market, the value shall be the fair market value thereof, as determined in good faith by the Company’s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Le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end</w:t>
      </w:r>
      <w:r>
        <w:rPr>
          <w:rFonts w:ascii="Times New Roman" w:cs="Times New Roman" w:eastAsia="Times New Roman" w:hAnsi="Times New Roman"/>
          <w:sz w:val="18"/>
          <w:szCs w:val="18"/>
          <w:color w:val="auto"/>
        </w:rPr>
        <w:t>. Each certificate for the securities purchased under this Purchase Warrant shall bear a legend as follows unless such securities have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APPLICABLE STATE LAW. THE SECURITIES REPRESENTED BY THIS CERTIFICATE ARE SUBJECT TO A LOCK-UP PERIOD OF ONE HUNDRED AND EIGHTY (180) DAYS FOLLOWING THE COMMENCEMENT OF SALES OF THE OFFERING PURSUANT TO THE REGISTRATION STATEMENT OF THE COMPANY’S SECURITIES (FILE NO. 333-291085) AND MAY NOT BE (A) SOLD, TRANSFERRED, ASSIGNED, PLEDGED OR HYPOTHECATED TO ANYONE OTHER THAN NETWORK 1 FINANCIAL SECURITIES, INC. OR BONA FIDE OFFICERS OR PARTNERS OF NETWORK 1 FINANCIAL SECURITIES, INC., OR (B) CAUSED TO BE THE SUBJECT OF ANY HEDGING, SHORT SALE, DERIVATIVE, PUT OR CALL TRANSACTION THAT WOULD RESULT IN THE EFFECTIVE ECONOMIC DISPOSITION OF THIS SECURITIES HEREUNDER, EXCEPT AS PROVIDED FOR IN FINRA RULE 5110(E)(2).”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Restrictions</w:t>
      </w:r>
      <w:r>
        <w:rPr>
          <w:rFonts w:ascii="Times New Roman" w:cs="Times New Roman" w:eastAsia="Times New Roman" w:hAnsi="Times New Roman"/>
          <w:sz w:val="18"/>
          <w:szCs w:val="18"/>
          <w:color w:val="auto"/>
        </w:rPr>
        <w:t xml:space="preserve">. The registered Holder of this Purchase Warrant agrees by his, her or its acceptance hereof, that such Holder will not for a period of one hundred eighty (180) days following the date of commencement of sales of the offering: (a) sell, transfer, assign, pledge or hypothecate this Purchase Warrant or any of the Shares issuable hereunder to anyone other than: (i) Network 1 or a selected dealer participating in the Offering contemplated by the Underwriting Agreement, or (ii) officers or partners of Network 1, each of whom shall have agreed to the restrictions contained herein, in accordance with FINRA Rule 5110(e)(1), or (b) cause this Purchase Warrant or the securities issuable hereunder to be the subject of any hedging, short sale, derivative, put or call transaction that would result in the effective economic disposition of this Purchase Warrant or the securities hereunder, except as provided for in FINRA Rule 5110(e)(2). The registered Holder of this Purchase Warrant will have the option to exercise, transfer or assign this Purchase Warrant at any time, provided that underlying securities shall not be transferred during the lock-up period; i.e., the Shares shall remain subject to the 180-day lock-up period. On and after that date that is one hundred eighty (180) days after the commencement of sales of the offering, transfers to others may be made subject to compliance with or exemptions from applicable securities laws. In order to make any permitted assignment, the Holder must deliver to the Company the assignment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B duly executed and completed, together with this Purchase Warrant and payment of all transfer taxes, if any, payable in connection therewith. The Company shall within five (5) Business Days transfer this Purchase Warrant on the books of the Company and shall execute and deliver a new Purchase Warrant or Purchase Warrants of like tenor to the appropriate assignee(s) expressly evidencing the right to purchase the aggregate number of Shares purchasable hereunder or such portion of such number as shall be contemplated by any such assignment.</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Restrictions Imposed by the Act</w:t>
      </w:r>
      <w:r>
        <w:rPr>
          <w:rFonts w:ascii="Times New Roman" w:cs="Times New Roman" w:eastAsia="Times New Roman" w:hAnsi="Times New Roman"/>
          <w:sz w:val="18"/>
          <w:szCs w:val="18"/>
          <w:color w:val="auto"/>
        </w:rPr>
        <w:t>. The securities evidenced by this Purchase Warrant shall not be transferred unless and until: (i) the Company has received the opinion of counsel for the Holder that the securities may be transferred pursuant to an exemption from registration under the Act and applicable state securities laws, the availability of which is established to the reasonable satisfaction of the Company, (ii) a Registration Statement relating to the offer and sale of such securities that includes a current prospectus has been filed and declared effective by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and compliance with applicable state securities law has been established.</w:t>
      </w:r>
    </w:p>
    <w:p>
      <w:pPr>
        <w:spacing w:after="0" w:line="183"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Purchase Warrants to be Issued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Partial Exercise or Transfer</w:t>
      </w:r>
      <w:r>
        <w:rPr>
          <w:rFonts w:ascii="Times New Roman" w:cs="Times New Roman" w:eastAsia="Times New Roman" w:hAnsi="Times New Roman"/>
          <w:sz w:val="18"/>
          <w:szCs w:val="18"/>
          <w:color w:val="auto"/>
        </w:rPr>
        <w:t xml:space="preserve">. Subject to the restrictions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this Purchase Warrant may be exercised or assigned in whole or in part. In the event of the exercise or assignment hereof in part only, upon surrender of this Purchase Warrant for cancellation, together with the duly executed exercise or assignment form and funds sufficient to pay any Exercise Price and/or transfer tax if exercised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the Company shall cause to be delivered to the Holder, without charge, a new Purchase Warrant of like tenor to this Purchase Warrant in the name of the Holder evidencing the right of the Holder to purchase the number of Shares purchasable hereunder as to which this Purchase Warrant has not been exercised or assigned.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Lost Certificate</w:t>
      </w:r>
      <w:r>
        <w:rPr>
          <w:rFonts w:ascii="Times New Roman" w:cs="Times New Roman" w:eastAsia="Times New Roman" w:hAnsi="Times New Roman"/>
          <w:sz w:val="18"/>
          <w:szCs w:val="18"/>
          <w:color w:val="auto"/>
        </w:rPr>
        <w:t>. Upon receipt by the Company of evidence satisfactory to it of the loss, theft, destruction or mutilation of this Purchase Warrant and of reasonably satisfactory indemnification or the posting of a bond, the Company shall execute and deliver a new Purchase Warrant of like tenor. Any such new Purchase Warrant executed and delivered as a result of such loss, theft, mutilation or destruction shall constitute a substitute contractual obligation on the part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 to Exercise Price and Number of Shares</w:t>
      </w:r>
      <w:r>
        <w:rPr>
          <w:rFonts w:ascii="Times New Roman" w:cs="Times New Roman" w:eastAsia="Times New Roman" w:hAnsi="Times New Roman"/>
          <w:sz w:val="18"/>
          <w:szCs w:val="18"/>
          <w:color w:val="auto"/>
        </w:rPr>
        <w:t>. The Exercise Price and the number of Shares underlying this Purchase Warrant shall be subject to adjustment from time to time as hereinafter set forth:</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Share Dividends; Split Ups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below, the number of outstanding Shares is increased by a share dividend payable in Shares or by a split up of Shares or other similar event, then, on the effective day thereof, the number of Shares purchasable hereunder shall be increased in proportion to such increase in outstanding shares, and the Exercise Price shall be proportionately decreased.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gg</w:t>
      </w:r>
      <w:r>
        <w:rPr>
          <w:rFonts w:ascii="Times New Roman" w:cs="Times New Roman" w:eastAsia="Times New Roman" w:hAnsi="Times New Roman"/>
          <w:sz w:val="18"/>
          <w:szCs w:val="18"/>
          <w:u w:val="single" w:color="auto"/>
          <w:color w:val="auto"/>
        </w:rPr>
        <w:t>regation of Shares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below, the number of outstanding Shares is decreased by a consolidation, combination or reclassification of Shares or other similar event, then, on the effective date thereof, the number of Shares purchasable hereunder shall be decreased in proportion to such decrease in outstanding shares, and the Exercise Price shall be proportionately increased.</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Replacement of Ordinary Shares upon Reorganization, etc</w:t>
      </w:r>
      <w:r>
        <w:rPr>
          <w:rFonts w:ascii="Times New Roman" w:cs="Times New Roman" w:eastAsia="Times New Roman" w:hAnsi="Times New Roman"/>
          <w:sz w:val="18"/>
          <w:szCs w:val="18"/>
          <w:color w:val="auto"/>
        </w:rPr>
        <w:t xml:space="preserve">. In case of any reclassification or reorganization of the outstanding Shares other than a change covered by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hereof or that solely affects the par value of such Shares, or in the case of any share reconstruction or amalgamation or consolidation of the Company with or into another corporation (other than a consolidation or share reconstruction or amalgamation in which the Company is the continuing corporation and that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Purchase Warrant shall have the right thereafter (until the expiration of the right of exercise of this Purchase Warrant) to receive upon the exercise hereof, for the same aggregate Exercise Price payable hereunder immediately prior to such event, the kind and amount of shares of stock or other securities or property (including cash) receivable upon such reclassification, reorganization, share reconstruction or amalgamation, or consolidation, or upon a dissolution following any such sale or transfer, by a Holder of the number of Ordinary Shares of the Company obtainable upon exercise of this Purchase Warrant immediately prior to such event; and if any reclassification also results in a change in Shares covered by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then such adjustment shall be made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similarly apply to successive reclassifications, reorganizations, share reconstructions or amalgamations, or consolidations, sales or other transfers.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es in Form of Purchase Warrant</w:t>
      </w:r>
      <w:r>
        <w:rPr>
          <w:rFonts w:ascii="Times New Roman" w:cs="Times New Roman" w:eastAsia="Times New Roman" w:hAnsi="Times New Roman"/>
          <w:sz w:val="18"/>
          <w:szCs w:val="18"/>
          <w:color w:val="auto"/>
        </w:rPr>
        <w:t xml:space="preserve">. This form of Purchase Warrant need not be changed because of any change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and Purchase Warrants issued after such change may state the same Exercise Price and the same number of Shares as are stated in the Purchase Warrants initially issued pursuant to this Agreement. The acceptance by any Holder of the issuance of new Purchase Warrants reflecting a required or permissive change shall not be deemed to waive any rights to an adjustment occurring after the date hereof or the computation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Substitute Purchase Warrant</w:t>
      </w:r>
      <w:r>
        <w:rPr>
          <w:rFonts w:ascii="Times New Roman" w:cs="Times New Roman" w:eastAsia="Times New Roman" w:hAnsi="Times New Roman"/>
          <w:sz w:val="18"/>
          <w:szCs w:val="18"/>
          <w:color w:val="auto"/>
        </w:rPr>
        <w:t xml:space="preserve">. In case of any consolidation of the Company with, or share reconstruction or amalgamation of the Company with or into, another corporation (other than a consolidation or share reconstruction or amalgamation which does not result in any reclassification or change of the outstanding Shares), the corporation formed by such consolidation or share reconstruction or amalgamation shall execute and deliver to the Holder a supplemental Purchase Warrant providing that the holder of each Purchase Warrant then outstanding or to be outstanding shall have the right thereafter (until the stated expiration of such Purchase Warrant) to receive, upon exercise of such Purchase Warrant, the kind and amount of shares of stock and other securities and property receivable upon such consolidation or share reconstruction or amalgamation, by a holder of the number of Ordinary Shares of the Company for which such Purchase Warrant might have been exercised immediately prior to such consolidation, share reconstruction or amalgamation, sale or transfer. Such supplemental Purchase Warrant shall provide for adjustments which shall be identical to the adjustments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above provision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similarly apply to successive consolidations or share reconstructions or amalgamations.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Elimination of Fractional Interests</w:t>
      </w:r>
      <w:r>
        <w:rPr>
          <w:rFonts w:ascii="Times New Roman" w:cs="Times New Roman" w:eastAsia="Times New Roman" w:hAnsi="Times New Roman"/>
          <w:sz w:val="18"/>
          <w:szCs w:val="18"/>
          <w:color w:val="auto"/>
        </w:rPr>
        <w:t>. The Company shall not be required to issue certificates representing fractions of Shares upon the exercise of the Purchase Warrant, nor shall it be required to issue scrip or pay cash in lieu of any fractional interests, it being the intent of the parties that all fractional interests shall be eliminated by rounding any fraction up or down, as the case may be, to the nearest whole number of Shares or other securities, properties or rights.</w:t>
      </w:r>
    </w:p>
    <w:p>
      <w:pPr>
        <w:spacing w:after="0" w:line="180"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Demand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Grant of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w:t>
      </w:r>
      <w:r>
        <w:rPr>
          <w:rFonts w:ascii="Times New Roman" w:cs="Times New Roman" w:eastAsia="Times New Roman" w:hAnsi="Times New Roman"/>
          <w:sz w:val="18"/>
          <w:szCs w:val="18"/>
          <w:color w:val="auto"/>
        </w:rPr>
        <w:t>. Unless all of the Registrable Securities (defined as below) are included in an effective registration statement with a current prospectus, the Company, upon written demand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of the Holder(s) of at least 51% of the Purchase Warrants and/or the underlying securities (“</w:t>
      </w:r>
      <w:r>
        <w:rPr>
          <w:rFonts w:ascii="Times New Roman" w:cs="Times New Roman" w:eastAsia="Times New Roman" w:hAnsi="Times New Roman"/>
          <w:sz w:val="18"/>
          <w:szCs w:val="18"/>
          <w:b w:val="1"/>
          <w:bCs w:val="1"/>
          <w:color w:val="auto"/>
        </w:rPr>
        <w:t>Majority Holder(s)</w:t>
      </w:r>
      <w:r>
        <w:rPr>
          <w:rFonts w:ascii="Times New Roman" w:cs="Times New Roman" w:eastAsia="Times New Roman" w:hAnsi="Times New Roman"/>
          <w:sz w:val="18"/>
          <w:szCs w:val="18"/>
          <w:color w:val="auto"/>
        </w:rPr>
        <w:t>”), agrees to register, once at the Company’s expense and once at the Majority Holder’s expense, all or any portion of the remaining Ordinary Share (collectively, the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as requested by the Majority Holder(s) in the Demand Notice, provided that no such registration will be required unless the Holders request registration of an aggregate of at least 51% of the outstanding Registrable Securities. On such occasion, the Company will file a new registration statement or a post-effective amendment to the Registration Statement covering the Registrable Securities within sixty (60) days after receipt of the Demand Notice and use its commercially reasonable efforts to have such registration statement or post-effective amendment declared effective as soon as possible thereafter. The demand for registration may be made at any time after one (1) year from the date of effectiveness of the Registration Statement, but no later than five (5) years from the date of commencement of sales of the Offering. The Company covenants and agrees to give written notice of its receipt of any Demand Notice by any Holder(s) to all other registered Holders of the Purchase Warrants and/or the Registrable Securities within ten (10) days from the date of the receipt of any such Demand Notice, who shall have five days from the receipt of such Notice in which to notify the Company of their desire to have their Registrable Securities included in the Registration Statement.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xml:space="preserve">. The Company shall bear all fees and expenses attendant to registering the Registrable Securities upon the first Demand Notice, including the reasonable expenses of any legal counsel selected by the Holders to represent them in connection with the sale of the Registrable Securities, but the Holders shall pay any and all underwriting commissions, if any. The Holders shall bear all fees and expenses attendant to registering the Registrable Securities upon the second Demand Notice. The Company agrees to use its commercially reasonable efforts to qualify or register the Registrable Securities in such States as are reasonably requested by the Majority Holder(s); provided, however, that in no event shall the Company be required to register the Registrable Securities in a State in which such registration would cause (i) the Company to be obligated to qualify to do business in such State or execute a general consent to service of process, or would subject the Company to taxation as a foreign corporation doing business in such jurisdiction or (ii) the principal shareholders of the Company to be obligated to escrow their shares of the Company. The Company shall cause any registration statement or post-effective amendment filed pursuant to the demand rights granted under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to remain effective for a period of twelve (12) consecutive months from the effective date of such registration statement or post-effective amendment or until the Holders have completed the distribution of the Registrable Securities included in the Registration Statement, whichever occurs first.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Deferred Filin</w:t>
      </w:r>
      <w:r>
        <w:rPr>
          <w:rFonts w:ascii="Times New Roman" w:cs="Times New Roman" w:eastAsia="Times New Roman" w:hAnsi="Times New Roman"/>
          <w:sz w:val="18"/>
          <w:szCs w:val="18"/>
          <w:color w:val="auto"/>
        </w:rPr>
        <w:t xml:space="preserve">g. If (i) in the good faith judgment of the Board, filing a registration statement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would be seriously detrimental to the Company and the Board concludes, as a result, that it is essential to defer the filing of such registration statement at such time, and (ii) the Company shall furnish to such Holders a certificate signed by a duly authorized officer of the Company stating that in the good faith judgment of the Board it would be seriously detrimental to the Company for such registration statement to be filed in the near future and that it is, therefore, essential to defer the filing of such registration statement, then the Company shall have the right to defer such filing on two occasions for an aggregate of not more than one hundred and twenty (120) days in any twelve-month period.</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No Cash Settlement Option</w:t>
      </w:r>
      <w:r>
        <w:rPr>
          <w:rFonts w:ascii="Times New Roman" w:cs="Times New Roman" w:eastAsia="Times New Roman" w:hAnsi="Times New Roman"/>
          <w:sz w:val="18"/>
          <w:szCs w:val="18"/>
          <w:color w:val="auto"/>
        </w:rPr>
        <w:t>. The Company is only required to use its commercially reasonable efforts to cause a registration statement covering issuance of the Registrable Securities underlying the Purchase Warrant to be declared effective, and once effective, only to use its commercially reasonable efforts to maintain the effectiveness of the registration statement. The Company will not be obligated to deliver securities, and there are no contractual penalties for failure to deliver securities, if a registration statement is not effective at the time of exercise. Additionally, in no event is the Company obligated to settle any Purchase Warrant, in whole or in part, for cash in the event it is unable to register the Registrable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Pi</w:t>
      </w:r>
      <w:r>
        <w:rPr>
          <w:rFonts w:ascii="Times New Roman" w:cs="Times New Roman" w:eastAsia="Times New Roman" w:hAnsi="Times New Roman"/>
          <w:sz w:val="18"/>
          <w:szCs w:val="18"/>
          <w:color w:val="auto"/>
        </w:rPr>
        <w:t>ggy</w:t>
      </w:r>
      <w:r>
        <w:rPr>
          <w:rFonts w:ascii="Times New Roman" w:cs="Times New Roman" w:eastAsia="Times New Roman" w:hAnsi="Times New Roman"/>
          <w:sz w:val="18"/>
          <w:szCs w:val="18"/>
          <w:u w:val="single" w:color="auto"/>
          <w:color w:val="auto"/>
        </w:rPr>
        <w:t>-Back”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Grant of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w:t>
      </w:r>
      <w:r>
        <w:rPr>
          <w:rFonts w:ascii="Times New Roman" w:cs="Times New Roman" w:eastAsia="Times New Roman" w:hAnsi="Times New Roman"/>
          <w:sz w:val="18"/>
          <w:szCs w:val="18"/>
          <w:color w:val="auto"/>
        </w:rPr>
        <w:t>. Unless all of the Registrable Securities are included in an effective registration statement with a current prospectus, the Holders of the Purchase Warrants shall have the right for a period of not more than five (5) years from the date of commencement of sales of the Offering, to include the remaining Registrable Securities as part of any other registration of securities filed by the Company (other than in connection with a transaction contemplated by Rule 145(a) promulgated under the Act or pursuant to Form S-8 or any successor or equivalent form); provided, however, that if, in the written opinion of the Company’s managing underwriter or underwriters, if any, for such offering, the inclusion of the Registrable Securities, when added to the securities being registered by the Company or the selling shareholder(s), will exceed the maximum amount of the Company’s securities which can be marketed (i) at a price reasonably related to their then current market value, and (ii) without materially and adversely affecting the entire offering, then the Company will still be required to include the Registrable Securities, but may require the Holders to agree, in writing, to delay the sale of all or any portion of the Registrable Securities for a period of ninety (90) days from the effective date of the offering, provided, further, that if the sale of any Registrable Securities is so delayed, then the number of securities to be sold by all shareholders in such public offering shall be apportioned pro rata among all such selling shareholders, including all holders of the Registrable Securities, according to the total amount of securities of the Company owned by said selling shareholders, including all holders of the Registrable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The Company shall bear all fees and expenses attendant to registering the Registrable Securities, including the expenses of any legal counsel selected by the Holders to represent them in connection with the sale of the Registrable Securities, but the Holders shall pay any and all underwriting commissions. In the event of such a proposed registration, the Company shall furnish the then Holders of outstanding Registrable Securities with not less than ten (10) days written notice prior to the proposed date of filing of such registration statement. Such notice to the Holders shall continue to be given for each applicable registration statement filed (during the period in which the Purchase Warrant is exercisable) by the Company until such time as all of the Registrable Securities have been registered and sold. The holders of the Registrable Securities shall exercise the “piggy back” rights provided for herein by giving written notice, within ten (10) days of the receipt of the Company’s notice of its intention to file a registration statement. The Company shall use its commercially reasonable efforts to cause any registration statement filed pursuant to the above “piggyback” rights that does not relate to a firm commitment underwritten offering to remain effective for at least nine (9) consecutive months from the effective date of such registration statement or until the Holders have completed the distribution of the Registrable Securities in the registration statement, whichever occurs first.</w:t>
      </w:r>
    </w:p>
    <w:p>
      <w:pPr>
        <w:spacing w:after="0" w:line="194" w:lineRule="exact"/>
        <w:rPr>
          <w:sz w:val="20"/>
          <w:szCs w:val="20"/>
          <w:color w:val="auto"/>
        </w:rPr>
      </w:pPr>
    </w:p>
    <w:p>
      <w:pPr>
        <w:jc w:val="both"/>
        <w:ind w:firstLine="8"/>
        <w:spacing w:after="0" w:line="253"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and Listin</w:t>
      </w:r>
      <w:r>
        <w:rPr>
          <w:rFonts w:ascii="Times New Roman" w:cs="Times New Roman" w:eastAsia="Times New Roman" w:hAnsi="Times New Roman"/>
          <w:sz w:val="18"/>
          <w:szCs w:val="18"/>
          <w:color w:val="auto"/>
        </w:rPr>
        <w:t>g. The Company shall at all times reserve and keep available out of its authorized Shares, solely for the purpose of issuance upon exercise of this Purchase Warrant, such number of Shares or other securities, properties or rights as shall be issuable upon the exercise thereof. The Company covenants and agrees that, upon exercise of this Purchase Warrant and payment of the Exercise Price therefor, in accordance with the terms hereby, all Shares and other securities issuable upon such exercise shall be duly and validly issued, fully paid and non-assessable and not subject to preemptive rights of any shareholder. The Company further covenants and agrees that upon exercise of this Purchase Warrant and payment of the exercise price therefor, all Shares and other securities issuable upon such exercise shall be duly and validly issued, fully paid and non-assessable and not subject to preemptive rights of any shareholder. As long as this Purchase Warrant shall be outstanding, the Company shall use its commercially reasonable efforts to cause all Shares issuable upon exercise of this Purchase Warrant to be listed (subject to official notice of issuance) on all national securities exchanges (or, if applicable, on the OTC Bulletin Board or any successor trading market) on which the Shares issued to the public in the Offering may then be listed and/or quoted.</w:t>
      </w:r>
    </w:p>
    <w:p>
      <w:pPr>
        <w:spacing w:after="0" w:line="19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Notice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Holder’s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 to Receive Notice</w:t>
      </w:r>
      <w:r>
        <w:rPr>
          <w:rFonts w:ascii="Times New Roman" w:cs="Times New Roman" w:eastAsia="Times New Roman" w:hAnsi="Times New Roman"/>
          <w:sz w:val="18"/>
          <w:szCs w:val="18"/>
          <w:color w:val="auto"/>
        </w:rPr>
        <w:t xml:space="preserve">. Nothing herein shall be construed as conferring upon the Holders the right to vote or consent or to receive notice as a shareholder for the election of directors or any other matter, or as having any rights whatsoever as a shareholder of the Company. If, however, at any time prior to the expiration of the Purchase Warrants and their exercise, any of the events described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occur, then, in one or more of said events, the Company shall give written notice of such event at least fifteen (15) days prior to the date fixed as a record date or the date of closing the transfer books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for the determination of the shareholders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 Notwithstanding the foregoing, the Company shall deliver to each Holder a copy of each notice given to the other shareholders of the Company at the same time and in the same manner that such notice is given to the shareholders.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Events Requiring Notice</w:t>
      </w:r>
      <w:r>
        <w:rPr>
          <w:rFonts w:ascii="Times New Roman" w:cs="Times New Roman" w:eastAsia="Times New Roman" w:hAnsi="Times New Roman"/>
          <w:sz w:val="18"/>
          <w:szCs w:val="18"/>
          <w:color w:val="auto"/>
        </w:rPr>
        <w:t xml:space="preserve">. The Company shall be required to give the notice described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upon one or more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(i) if the Company shall take a record of the holders of its Shares for the purpose of entitling them to receive a dividend or distribution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than in cash, or a cash dividend or distribution payable otherwise than out of retained earnings, as indicated by the accounting treatment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or distribution on the books of the Company, (ii) the Company shall offer to all the holders of its Shares any additional shares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convertible into or exchangeable for shares of the Company, or any option, right or warrant to subscribe therefor, or (iii) a dissolution, 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winding up of the Company (other than in connection with a consolidation or share reconstruction or amalgamation) or a sale of all or substantially all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property, assets and business shall be proposed.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 of 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in Exercise Price</w:t>
      </w:r>
      <w:r>
        <w:rPr>
          <w:rFonts w:ascii="Times New Roman" w:cs="Times New Roman" w:eastAsia="Times New Roman" w:hAnsi="Times New Roman"/>
          <w:sz w:val="18"/>
          <w:szCs w:val="18"/>
          <w:color w:val="auto"/>
        </w:rPr>
        <w:t xml:space="preserve">. The Company shall, promptly after an event requiring a change in the Exercise Price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send notice to the Holders of such event and change (“</w:t>
      </w:r>
      <w:r>
        <w:rPr>
          <w:rFonts w:ascii="Times New Roman" w:cs="Times New Roman" w:eastAsia="Times New Roman" w:hAnsi="Times New Roman"/>
          <w:sz w:val="18"/>
          <w:szCs w:val="18"/>
          <w:b w:val="1"/>
          <w:bCs w:val="1"/>
          <w:color w:val="auto"/>
        </w:rPr>
        <w:t>Price Notice</w:t>
      </w:r>
      <w:r>
        <w:rPr>
          <w:rFonts w:ascii="Times New Roman" w:cs="Times New Roman" w:eastAsia="Times New Roman" w:hAnsi="Times New Roman"/>
          <w:sz w:val="18"/>
          <w:szCs w:val="18"/>
          <w:color w:val="auto"/>
        </w:rPr>
        <w:t>”). The Price Notice shall describe the event causing the change and the method of calculating same and shall be certified as being true and accurate by the Company’s Chief Financial Officer.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Transmittal of Notices</w:t>
      </w:r>
      <w:r>
        <w:rPr>
          <w:rFonts w:ascii="Times New Roman" w:cs="Times New Roman" w:eastAsia="Times New Roman" w:hAnsi="Times New Roman"/>
          <w:sz w:val="18"/>
          <w:szCs w:val="18"/>
          <w:color w:val="auto"/>
        </w:rPr>
        <w:t>. All notices, requests, consents and other communications under this Purchase Warrant shall be in writing and shall be deemed to have been duly made (1) when hand delivered, (2) when mailed by express mail or private courier service, (3) if sent by electronic mail, on the day the notice was sent if during regular business hours and, if sent outside of regular business hours, on the following business day, or (4) when the event requiring notice is disclosed in all material respects and filed in a Current Report on Form 6-K prior to the Notice Date: (i) if to the registered Holder of the Purchase Warrant, to the address of such Holder as shown on the books of the Company, or (ii) if to the Company, to following address or to such other address as the Company may designate by notice to the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Network 1 Financial Securities,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Bridge Ave., Suite 241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Red Bank, NJ 07701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Adam Pasholk, Managing Director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adampasholk@netw1.com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Lewis Brisbois Bisgaard &amp; Smith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 Fremont Street, Suite 3000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John P. Yung,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r>
        <w:rPr>
          <w:rFonts w:ascii="Times New Roman" w:cs="Times New Roman" w:eastAsia="Times New Roman" w:hAnsi="Times New Roman"/>
          <w:sz w:val="18"/>
          <w:szCs w:val="18"/>
          <w:u w:val="single" w:color="auto"/>
          <w:color w:val="auto"/>
        </w:rPr>
        <w:t>john.yung@lewisbrisbois.com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Simpple Ltd.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Block G #01-00, BCA Academy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Braddell Rd, Singapore 579700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71 Ayer Rajah Crescent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#03-07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Singapore 139951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Kelvin Lee, Executive Chairman and Director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kelvin@simpple.ai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2206-19 Jardine House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 Connaught Place Central,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Hong Kong SAR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Lawrence S. Venick,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lvenick@loeb.com</w:t>
      </w:r>
    </w:p>
    <w:p>
      <w:pPr>
        <w:spacing w:after="0" w:line="207"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Company and Network 1 may from time to time supplement or amend this Purchase Warrant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Network 1 may deem necessary or desirable and that the Company and Network 1 deem shall not adversely affect the interest of the Holders. All other modifications or amendments shall require the written consent of and be signed by the party against whom enforcement of the modification or amendment is sought.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Headin</w:t>
      </w:r>
      <w:r>
        <w:rPr>
          <w:rFonts w:ascii="Times New Roman" w:cs="Times New Roman" w:eastAsia="Times New Roman" w:hAnsi="Times New Roman"/>
          <w:sz w:val="18"/>
          <w:szCs w:val="18"/>
          <w:color w:val="auto"/>
        </w:rPr>
        <w:t>gs. The headings contained herein are for the sole purpose of convenience of reference, and shall not in any way limit or affect the meaning or interpretation of any of the terms or provisions of this Purchase Warrant.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This Purchase Warrant (together with the other agreements and documents being delivered pursuant to or in connection with this Purchase Warrant) constitutes the entire agreement of the parties hereto with respect to the subject matter hereof, and supersedes all prior agreements and understandings of the parties, oral and written, with respect to the subject matter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Bindin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This Purchase Warrant shall inure solely to the benefit of and shall be binding upon, the Holder and the Company and their permitted assignees and respective successors and no other person shall have or be construed to have any legal or equitable right, remedy or claim under or in respect of or by virtue of this Purchase Warrant or any provisions herein contained.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Governin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Law; Submission to Jurisdiction</w:t>
      </w:r>
      <w:r>
        <w:rPr>
          <w:rFonts w:ascii="Times New Roman" w:cs="Times New Roman" w:eastAsia="Times New Roman" w:hAnsi="Times New Roman"/>
          <w:sz w:val="18"/>
          <w:szCs w:val="18"/>
          <w:color w:val="auto"/>
        </w:rPr>
        <w:t>. This Purchase Warrant shall be governed by and construed and enforced in accordance with the internal laws of the State of New York, without giving effect to conflict of laws principles thereof. The Company hereby agrees that any action, proceeding or claim against it arising out of, or relating in any way to this Purchase Warrant shall be brought and enforced in the Borough of Manhattan in The City of New York (each, a “</w:t>
      </w:r>
      <w:r>
        <w:rPr>
          <w:rFonts w:ascii="Times New Roman" w:cs="Times New Roman" w:eastAsia="Times New Roman" w:hAnsi="Times New Roman"/>
          <w:sz w:val="18"/>
          <w:szCs w:val="18"/>
          <w:b w:val="1"/>
          <w:bCs w:val="1"/>
          <w:color w:val="auto"/>
        </w:rPr>
        <w:t>New York Court</w:t>
      </w:r>
      <w:r>
        <w:rPr>
          <w:rFonts w:ascii="Times New Roman" w:cs="Times New Roman" w:eastAsia="Times New Roman" w:hAnsi="Times New Roman"/>
          <w:sz w:val="18"/>
          <w:szCs w:val="18"/>
          <w:color w:val="auto"/>
        </w:rPr>
        <w:t xml:space="preserve">”),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it at the address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 Such mailing shall be deemed personal service and shall be legal and binding upon the Company in any action, proceeding or claim. The Company and the Holder agree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6" w:name="page47"/>
    <w:bookmarkEnd w:id="4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The failure of the Company or the Holder to at any time enforce any of the provisions of this Purchase Warrant shall not be deemed or construed to be a waiver of any such provision, nor to in any way affect the validity of this Purchase Warrant or any provision hereof or the right of the Company or any Holder to thereafter enforce each and every provision of this Purchase Warrant. No waiver of any breach, non-compliance or non-fulfillment of any of the provisions of this Purchase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Agreement</w:t>
      </w:r>
      <w:r>
        <w:rPr>
          <w:rFonts w:ascii="Times New Roman" w:cs="Times New Roman" w:eastAsia="Times New Roman" w:hAnsi="Times New Roman"/>
          <w:sz w:val="18"/>
          <w:szCs w:val="18"/>
          <w:color w:val="auto"/>
        </w:rPr>
        <w:t>. As a condition of the Holder’s receipt and acceptance of this Purchase Warrant, Holder agrees that, at any time prior to the complete exercise of this Purchase Warrant by Holder, if the Company and Network 1 enter into an agreement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pursuant to which they agree that all outstanding Purchase Warrants will be exchanged for securities or cash or a combination of both, then Holder shall agree to such exchange and become a party to the Exchange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Purchase Warrant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Such counterparts may be delivered by facsimile transmission or other electronic transmission.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Shares acquired upon the exercise of this Purchase Warrant, if not registered, and the Holder does not utilize cashless exercise, will have restrictions upon resale imposed by state and federal securities laws.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w:t>
      </w:r>
      <w:r>
        <w:rPr>
          <w:rFonts w:ascii="Times New Roman" w:cs="Times New Roman" w:eastAsia="Times New Roman" w:hAnsi="Times New Roman"/>
          <w:sz w:val="18"/>
          <w:szCs w:val="18"/>
          <w:color w:val="auto"/>
        </w:rPr>
        <w:t>y. Wherever possible, each provision of this Purchase Warrant shall be interpreted in such manner as to be effective and valid under applicable law, but if any provision of this Purchase Warrant shall be prohibited by or invalid under applicable law, such provision shall be ineffective to the extent of such prohibition or invalidity, without invalidating the remainder of such provision or the remaining provisions of this Purchase Warrant.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Purchase Warrant to be signed by its duly authorized officer as of the __day of March,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Simpple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Kelvin Lee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Chairman and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to be used to exercise Purchase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 20__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undersigned hereby elects irrevocably to exercise the Purchase Warrant for ________ Ordinary Shares of Simpple Ltd., an exempted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incorporated with limited liability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hereby makes payment of $______ (at the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per Share) in payment of the Exercise Price pursuant thereto. Please issue the Shares as to which this Purchase Warrant is exercised in accordance</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with the instructions given below, and if applicable, a new Purchase warrant representing the number of Shares for which this Purchase warrant has not been exercised.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the time of exercise hereof there is no effective registration statement registering or the prospectus contained therein is not available for the issuance of the Shares to the Holder, the undersigned hereby elects irrevocably to convert its right to purchase ______ Shares under the Purchase Warrant</w:t>
      </w:r>
    </w:p>
    <w:p>
      <w:pPr>
        <w:spacing w:after="0"/>
        <w:rPr>
          <w:sz w:val="20"/>
          <w:szCs w:val="20"/>
          <w:color w:val="auto"/>
        </w:rPr>
      </w:pPr>
      <w:r>
        <w:rPr>
          <w:rFonts w:ascii="Times New Roman" w:cs="Times New Roman" w:eastAsia="Times New Roman" w:hAnsi="Times New Roman"/>
          <w:sz w:val="18"/>
          <w:szCs w:val="18"/>
          <w:color w:val="auto"/>
        </w:rPr>
        <w:t>for _________ Shares, as determined in accordance with the following formula: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X =</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 (A — B)</w:t>
            </w:r>
          </w:p>
        </w:tc>
        <w:tc>
          <w:tcPr>
            <w:tcW w:w="9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2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4"/>
                <w:szCs w:val="24"/>
                <w:color w:val="auto"/>
              </w:rPr>
            </w:pPr>
          </w:p>
        </w:tc>
        <w:tc>
          <w:tcPr>
            <w:tcW w:w="10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X = The number of Shares to be issued to Holder;</w:t>
            </w:r>
          </w:p>
        </w:tc>
        <w:tc>
          <w:tcPr>
            <w:tcW w:w="0" w:type="dxa"/>
            <w:vAlign w:val="bottom"/>
          </w:tcPr>
          <w:p>
            <w:pPr>
              <w:spacing w:after="0"/>
              <w:rPr>
                <w:sz w:val="1"/>
                <w:szCs w:val="1"/>
                <w:color w:val="auto"/>
              </w:rPr>
            </w:pPr>
          </w:p>
        </w:tc>
      </w:tr>
      <w:tr>
        <w:trPr>
          <w:trHeight w:val="414"/>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Y = The number of Shares that would be issuable upon exercise of this Purchase Warrant in accordance with the terms of this Purchase</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Warrant if such exercise were by means of a cash exercise rather than a cashless exercise;</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 = The fair market value of one Share; and</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 = The Exercise Price of this Purchase Warrant, as adjusted hereunder.</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agrees and acknowledges that the calculation set forth above is subject to confirmation by the Company and any disagreement with respect to the calculation shall be resolved by the Company in its sole discretion.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Please issue the Shares as to which this Purchase Warrant is exercised in accordance with the instructions given below and, if applicable, a new Purchase Warrant representing the number of Shares for which this Purchase Warrant has not been exercised.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______________________________</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INSTRUCTIONS FOR REGISTRATION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(Print in Block Letters)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26035</wp:posOffset>
            </wp:positionV>
            <wp:extent cx="31375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The signature to this form must correspond with the name as written upon the face of the Purchase Warrant without alteration or enlargement or any change whatsoever, and must be guaranteed by a bank, other than a savings bank, or by a trust company or by a firm having membership on a registered national securities exchange.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to be used to assign Purchase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to effect a transfer of the within Purchase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 does hereby sell, assign and transfer unto the right to purchase shares of Simpple Ltd., an exempted</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company duly incorporated with limited liability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Purchase Warrant and does hereby authorize the Company to transfer such right on the books of the Company 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____, 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_______________________________</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Address: </w:t>
      </w:r>
      <w:r>
        <w:rPr>
          <w:rFonts w:ascii="Times New Roman" w:cs="Times New Roman" w:eastAsia="Times New Roman" w:hAnsi="Times New Roman"/>
          <w:sz w:val="19"/>
          <w:szCs w:val="19"/>
          <w:color w:val="auto"/>
        </w:rPr>
        <w:t>____________________________</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Guaranteed: </w:t>
      </w:r>
      <w:r>
        <w:rPr>
          <w:rFonts w:ascii="Times New Roman" w:cs="Times New Roman" w:eastAsia="Times New Roman" w:hAnsi="Times New Roman"/>
          <w:sz w:val="19"/>
          <w:szCs w:val="19"/>
          <w:color w:val="auto"/>
        </w:rPr>
        <w:t>_________________________</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The signature to this form must correspond with the name as written upon the face of the within Purchase Warrant without alteration or enlargement or any change whatsoever, and must be guaranteed by a bank or trust company. Officers of corporations and those acting in a fiduciary or other representative capacity should file proper evidence of authority to assign the foregoing Purchase Warrant.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Harney Westwood &amp; Riegels Singapore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143125" cy="626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62611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138 Market Street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#24-04 CapitaGreen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Singapore 048946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+65 6800 9830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+65 6800 9831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March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lishi.fong@harneys.com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+65 6800 9833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058582.0002/LZF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SIMPPLE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Harneys Fiduciary (Cayman) Limited</w:t>
      </w:r>
    </w:p>
    <w:p>
      <w:pPr>
        <w:spacing w:after="0" w:line="192" w:lineRule="auto"/>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Harbour Place</w:t>
      </w:r>
    </w:p>
    <w:p>
      <w:pPr>
        <w:spacing w:after="0"/>
        <w:rPr>
          <w:sz w:val="20"/>
          <w:szCs w:val="20"/>
          <w:color w:val="auto"/>
        </w:rPr>
      </w:pPr>
      <w:r>
        <w:rPr>
          <w:rFonts w:ascii="Times New Roman" w:cs="Times New Roman" w:eastAsia="Times New Roman" w:hAnsi="Times New Roman"/>
          <w:sz w:val="18"/>
          <w:szCs w:val="18"/>
          <w:color w:val="auto"/>
        </w:rPr>
        <w:t>103 South Church Street, P.O. Box 10240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SIMPPLE LTD., Company No. 393431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attorneys-at-law qualified to practise in the Cayman Islands and have acted as Cayman Islands legal advisers to the Company in connection with the Form 6-K (as defined in Schedule 1), to be filed on or about the date of this opinion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under the U.S.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relating to the offering, issuance and sale by the Company of 4,000,000 ordinary shares of par value of US$0.0008 each in a private offering (the </w:t>
      </w:r>
      <w:r>
        <w:rPr>
          <w:rFonts w:ascii="Times New Roman" w:cs="Times New Roman" w:eastAsia="Times New Roman" w:hAnsi="Times New Roman"/>
          <w:sz w:val="18"/>
          <w:szCs w:val="18"/>
          <w:b w:val="1"/>
          <w:bCs w:val="1"/>
          <w:i w:val="1"/>
          <w:iCs w:val="1"/>
          <w:color w:val="auto"/>
        </w:rPr>
        <w:t>Offer Shares</w:t>
      </w:r>
      <w:r>
        <w:rPr>
          <w:rFonts w:ascii="Times New Roman" w:cs="Times New Roman" w:eastAsia="Times New Roman" w:hAnsi="Times New Roman"/>
          <w:sz w:val="18"/>
          <w:szCs w:val="18"/>
          <w:color w:val="auto"/>
        </w:rPr>
        <w:t xml:space="preserve">). The Offer Shares are being offered pursuant to the Prospectus Supplement (defined in Schedule 1) to the Registration Statement (defined in Schedule 1) relating to the offering by the Company of the Offer Shares under the Underwriting Agreement (as defined in Schedule 1). The Company will also be issuing warrants to the underwriters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xml:space="preserve">) to purchase up to 300,000 ordinary shares of the Company of par value US$0.0008 each, which is equal to seven and a half percent (7.5%) of the Offer Shares (the </w:t>
      </w:r>
      <w:r>
        <w:rPr>
          <w:rFonts w:ascii="Times New Roman" w:cs="Times New Roman" w:eastAsia="Times New Roman" w:hAnsi="Times New Roman"/>
          <w:sz w:val="18"/>
          <w:szCs w:val="18"/>
          <w:b w:val="1"/>
          <w:bCs w:val="1"/>
          <w:i w:val="1"/>
          <w:iCs w:val="1"/>
          <w:color w:val="auto"/>
        </w:rPr>
        <w:t>Underlying Shares</w:t>
      </w:r>
      <w:r>
        <w:rPr>
          <w:rFonts w:ascii="Times New Roman" w:cs="Times New Roman" w:eastAsia="Times New Roman" w:hAnsi="Times New Roman"/>
          <w:sz w:val="18"/>
          <w:szCs w:val="18"/>
          <w:color w:val="auto"/>
        </w:rPr>
        <w:t>, together with the Offer Shares, the</w:t>
      </w:r>
      <w:r>
        <w:rPr>
          <w:rFonts w:ascii="Times New Roman" w:cs="Times New Roman" w:eastAsia="Times New Roman" w:hAnsi="Times New Roman"/>
          <w:sz w:val="18"/>
          <w:szCs w:val="18"/>
          <w:b w:val="1"/>
          <w:bCs w:val="1"/>
          <w:i w:val="1"/>
          <w:iCs w:val="1"/>
          <w:color w:val="auto"/>
        </w:rPr>
        <w:t xml:space="preserve"> Shares</w:t>
      </w:r>
      <w:r>
        <w:rPr>
          <w:rFonts w:ascii="Times New Roman" w:cs="Times New Roman" w:eastAsia="Times New Roman" w:hAnsi="Times New Roman"/>
          <w:sz w:val="18"/>
          <w:szCs w:val="18"/>
          <w:color w:val="auto"/>
        </w:rPr>
        <w:t>) pursuant to the Warrant Agreement (defined in Schedule 1). In this opinion</w:t>
      </w:r>
      <w:r>
        <w:rPr>
          <w:rFonts w:ascii="Times New Roman" w:cs="Times New Roman" w:eastAsia="Times New Roman" w:hAnsi="Times New Roman"/>
          <w:sz w:val="18"/>
          <w:szCs w:val="18"/>
          <w:b w:val="1"/>
          <w:bCs w:val="1"/>
          <w:i w:val="1"/>
          <w:iCs w:val="1"/>
          <w:color w:val="auto"/>
        </w:rPr>
        <w:t xml:space="preserve"> Companies Act </w:t>
      </w:r>
      <w:r>
        <w:rPr>
          <w:rFonts w:ascii="Times New Roman" w:cs="Times New Roman" w:eastAsia="Times New Roman" w:hAnsi="Times New Roman"/>
          <w:sz w:val="18"/>
          <w:szCs w:val="18"/>
          <w:color w:val="auto"/>
        </w:rPr>
        <w:t>means the Companies Act (2026 Revision) of the Cayman Islands.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filing this opinion as Exhibit 5.1 to the Form 6-K which is incorporated by reference to the Registration Statement.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giving this opinion, we have examined the Documents (as defined in Schedule 1).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giving this opinion we have relied upon the assumptions set out in Schedule 2 which we have not verified.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Jersey legal services are provided through a referral arrangement with Harneys (Jersey)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Anguilla | Bermuda | British Virgin Islands</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which is an independently owned and controlled Jersey law firm.</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Cayman Islands | Cyprus | Dubai | Hong Kong |</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Registered in Singapore with limited liability (T13LL2450G).</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Jersey London | Luxembourg | Shanghai | Singapore</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615409462.6</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harneys.com</w:t>
            </w:r>
          </w:p>
        </w:tc>
      </w:tr>
      <w:tr>
        <w:trPr>
          <w:trHeight w:val="459"/>
        </w:trPr>
        <w:tc>
          <w:tcPr>
            <w:tcW w:w="69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1" w:name="page52"/>
    <w:bookmarkEnd w:id="51"/>
    <w:p>
      <w:pPr>
        <w:ind w:right="300"/>
        <w:spacing w:after="0" w:line="312" w:lineRule="auto"/>
        <w:rPr>
          <w:sz w:val="20"/>
          <w:szCs w:val="20"/>
          <w:color w:val="auto"/>
        </w:rPr>
      </w:pPr>
      <w:r>
        <w:rPr>
          <w:rFonts w:ascii="Times New Roman" w:cs="Times New Roman" w:eastAsia="Times New Roman" w:hAnsi="Times New Roman"/>
          <w:sz w:val="17"/>
          <w:szCs w:val="17"/>
          <w:color w:val="auto"/>
        </w:rPr>
        <w:t>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w:t>
      </w:r>
    </w:p>
    <w:p>
      <w:pPr>
        <w:spacing w:after="0" w:line="163" w:lineRule="exact"/>
        <w:rPr>
          <w:sz w:val="20"/>
          <w:szCs w:val="20"/>
          <w:color w:val="auto"/>
        </w:rPr>
      </w:pPr>
    </w:p>
    <w:p>
      <w:pPr>
        <w:jc w:val="both"/>
        <w:ind w:left="660" w:hanging="652"/>
        <w:spacing w:after="0" w:line="26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Existence and Good Standing. </w:t>
      </w:r>
      <w:r>
        <w:rPr>
          <w:rFonts w:ascii="Times New Roman" w:cs="Times New Roman" w:eastAsia="Times New Roman" w:hAnsi="Times New Roman"/>
          <w:sz w:val="18"/>
          <w:szCs w:val="18"/>
          <w:color w:val="auto"/>
        </w:rPr>
        <w:t>The Company is an exempted company duly incorporated with limited liability, and is validly existing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standing under the laws of the Cayman Islands, with power and authority (corporate and other) to own its properties and conduct its business as described in the Registration Statement. It is a separate legal entity and is subject to suit in its own name.</w:t>
      </w:r>
    </w:p>
    <w:p>
      <w:pPr>
        <w:spacing w:after="0" w:line="198" w:lineRule="exact"/>
        <w:rPr>
          <w:sz w:val="20"/>
          <w:szCs w:val="20"/>
          <w:color w:val="auto"/>
        </w:rPr>
      </w:pPr>
    </w:p>
    <w:p>
      <w:pPr>
        <w:jc w:val="both"/>
        <w:ind w:left="660" w:hanging="652"/>
        <w:spacing w:after="0" w:line="268"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 Issuance of Shares. </w:t>
      </w:r>
      <w:r>
        <w:rPr>
          <w:rFonts w:ascii="Times New Roman" w:cs="Times New Roman" w:eastAsia="Times New Roman" w:hAnsi="Times New Roman"/>
          <w:sz w:val="18"/>
          <w:szCs w:val="18"/>
          <w:color w:val="auto"/>
        </w:rPr>
        <w:t>The allotment and issuance by the Company of the Shares have been duly authorised by the Company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Resolutions (as defined in Schedule 1) and, subject to the satisfaction of any conditions or requirements set forth in the Agreements (as defined in Schedule 1), will be validly and legally issued and allotted and credited as fully paid and non-assessable.</w:t>
      </w:r>
    </w:p>
    <w:p>
      <w:pPr>
        <w:spacing w:after="0" w:line="171" w:lineRule="exact"/>
        <w:rPr>
          <w:sz w:val="20"/>
          <w:szCs w:val="20"/>
          <w:color w:val="auto"/>
        </w:rPr>
      </w:pPr>
    </w:p>
    <w:p>
      <w:pPr>
        <w:jc w:val="both"/>
        <w:ind w:left="660" w:hanging="652"/>
        <w:spacing w:after="0" w:line="268"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The Warrant Agreement, when executed and delivered in accordance with the Resolutions and subject to the satisfaction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conditions or requirements set forth therein, will be treated by the courts of the Cayman Islands as the legally binding and valid obligations of the Company enforceable in accordance with its terms.</w:t>
      </w:r>
    </w:p>
    <w:p>
      <w:pPr>
        <w:spacing w:after="0" w:line="171" w:lineRule="exact"/>
        <w:rPr>
          <w:sz w:val="20"/>
          <w:szCs w:val="20"/>
          <w:color w:val="auto"/>
        </w:rPr>
      </w:pPr>
    </w:p>
    <w:p>
      <w:pPr>
        <w:jc w:val="both"/>
        <w:ind w:left="660" w:hanging="652"/>
        <w:spacing w:after="0" w:line="26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Authorised Share Capital. </w:t>
      </w:r>
      <w:r>
        <w:rPr>
          <w:rFonts w:ascii="Times New Roman" w:cs="Times New Roman" w:eastAsia="Times New Roman" w:hAnsi="Times New Roman"/>
          <w:sz w:val="18"/>
          <w:szCs w:val="18"/>
          <w:color w:val="auto"/>
        </w:rPr>
        <w:t>Based on the M&amp;A (as defined in Schedule 1), the Company has an authorised share capital of US$3,200,000 divided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4,000,000,000 ordinary shares of par value of US$0.0008 each of such class or classes (however designated) as the board of directors may determine.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We express no opinion as to matters of fact.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above opinion, we hereby consent to the filing of this opinion as an exhibit to the Form 6-K which is incorporated by reference to the Registration Statement and references to our name under the caption “Legal Matters” in the Prospectus Supplement. In giving such consent, we do not thereby admit that we come within the category of persons whose consent is required under Section 7 of the Securities Act, as amended,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limited to the matters referred to herein and shall not be construed as extending to any other matter or document not referred to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shall be construed in accordance with the laws of the 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Harney Westwood &amp; Riegels Singapore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Harney Westwood &amp; Riegels Singapore LLP</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List of Documents Examined</w:t>
      </w:r>
    </w:p>
    <w:p>
      <w:pPr>
        <w:spacing w:after="0" w:line="2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dated 24 August 2022.</w:t>
      </w:r>
    </w:p>
    <w:p>
      <w:pPr>
        <w:spacing w:after="0" w:line="225" w:lineRule="exact"/>
        <w:rPr>
          <w:sz w:val="20"/>
          <w:szCs w:val="20"/>
          <w:color w:val="auto"/>
        </w:rPr>
      </w:pPr>
    </w:p>
    <w:p>
      <w:pPr>
        <w:ind w:left="660" w:hanging="652"/>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amended and restated memorandum and articles of association of the Company as adopted by a special resolution passed on 14 October 2025 (the </w:t>
      </w:r>
      <w:r>
        <w:rPr>
          <w:rFonts w:ascii="Times New Roman" w:cs="Times New Roman" w:eastAsia="Times New Roman" w:hAnsi="Times New Roman"/>
          <w:sz w:val="18"/>
          <w:szCs w:val="18"/>
          <w:b w:val="1"/>
          <w:bCs w:val="1"/>
          <w:i w:val="1"/>
          <w:iCs w:val="1"/>
          <w:color w:val="auto"/>
        </w:rPr>
        <w:t>M&amp;A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good standing in respect of the Company issued by the Registrar of Companies dated 30 March 2026.</w:t>
      </w:r>
    </w:p>
    <w:p>
      <w:pPr>
        <w:spacing w:after="0" w:line="221" w:lineRule="exact"/>
        <w:rPr>
          <w:sz w:val="20"/>
          <w:szCs w:val="20"/>
          <w:color w:val="auto"/>
        </w:rPr>
      </w:pPr>
    </w:p>
    <w:p>
      <w:pPr>
        <w:ind w:left="660" w:hanging="652"/>
        <w:spacing w:after="0" w:line="28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 of Writs and other Originating Process of the Grand Court of the Cayman Islands (the </w:t>
      </w:r>
      <w:r>
        <w:rPr>
          <w:rFonts w:ascii="Times New Roman" w:cs="Times New Roman" w:eastAsia="Times New Roman" w:hAnsi="Times New Roman"/>
          <w:sz w:val="18"/>
          <w:szCs w:val="18"/>
          <w:b w:val="1"/>
          <w:bCs w:val="1"/>
          <w:i w:val="1"/>
          <w:iCs w:val="1"/>
          <w:color w:val="auto"/>
        </w:rPr>
        <w:t>Court Register</w:t>
      </w:r>
      <w:r>
        <w:rPr>
          <w:rFonts w:ascii="Times New Roman" w:cs="Times New Roman" w:eastAsia="Times New Roman" w:hAnsi="Times New Roman"/>
          <w:sz w:val="18"/>
          <w:szCs w:val="18"/>
          <w:color w:val="auto"/>
        </w:rPr>
        <w:t xml:space="preserve">) via the Court’s Digital System (as defined in Schedule 3) from the incorporation date of the Company to 30 March 2026 (the </w:t>
      </w:r>
      <w:r>
        <w:rPr>
          <w:rFonts w:ascii="Times New Roman" w:cs="Times New Roman" w:eastAsia="Times New Roman" w:hAnsi="Times New Roman"/>
          <w:sz w:val="18"/>
          <w:szCs w:val="18"/>
          <w:b w:val="1"/>
          <w:bCs w:val="1"/>
          <w:i w:val="1"/>
          <w:iCs w:val="1"/>
          <w:color w:val="auto"/>
        </w:rPr>
        <w:t>Court Search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written resolutions of the directors of the Company dated 24 October 2025 and 26 March 2026 (the </w:t>
      </w:r>
      <w:r>
        <w:rPr>
          <w:rFonts w:ascii="Times New Roman" w:cs="Times New Roman" w:eastAsia="Times New Roman" w:hAnsi="Times New Roman"/>
          <w:sz w:val="18"/>
          <w:szCs w:val="18"/>
          <w:b w:val="1"/>
          <w:bCs w:val="1"/>
          <w:i w:val="1"/>
          <w:iCs w:val="1"/>
          <w:color w:val="auto"/>
        </w:rPr>
        <w:t>Resolutions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 xml:space="preserve">A copy of the certificate from a director of the Company dated 27 March 2026 (the </w:t>
      </w:r>
      <w:r>
        <w:rPr>
          <w:rFonts w:ascii="Times New Roman" w:cs="Times New Roman" w:eastAsia="Times New Roman" w:hAnsi="Times New Roman"/>
          <w:sz w:val="17"/>
          <w:szCs w:val="17"/>
          <w:b w:val="1"/>
          <w:bCs w:val="1"/>
          <w:i w:val="1"/>
          <w:iCs w:val="1"/>
          <w:color w:val="auto"/>
        </w:rPr>
        <w:t>Director’s Certificate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executed underwriting agreement dated 31 March 2026 between the Company and Network 1 Financial Securities, Inc.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draft ordinary purchase warrant for the purchase of 300,000 ordinary shares of the Company to be entered into between the Company and Network 1 Financial Securities, Inc.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preliminary prospectus supplement dated 26 March 2026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7"/>
          <w:szCs w:val="17"/>
          <w:color w:val="auto"/>
        </w:rPr>
        <w:t xml:space="preserve">A copy of the prospectus dated 27 October 2025 effective as of 16 November 2025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hanging="652"/>
        <w:spacing w:after="0" w:line="268"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registration statements on Form F-3 (including all amendments or supplements thereto) (File No. 333-291085)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schedule thereto).</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draft Form 6-K relating to the Agreements and the Shares (</w:t>
      </w:r>
      <w:r>
        <w:rPr>
          <w:rFonts w:ascii="Times New Roman" w:cs="Times New Roman" w:eastAsia="Times New Roman" w:hAnsi="Times New Roman"/>
          <w:sz w:val="18"/>
          <w:szCs w:val="18"/>
          <w:b w:val="1"/>
          <w:bCs w:val="1"/>
          <w:i w:val="1"/>
          <w:iCs w:val="1"/>
          <w:color w:val="auto"/>
        </w:rPr>
        <w:t>Form 6-K</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1 to 6 above are the </w:t>
      </w:r>
      <w:r>
        <w:rPr>
          <w:rFonts w:ascii="Times New Roman" w:cs="Times New Roman" w:eastAsia="Times New Roman" w:hAnsi="Times New Roman"/>
          <w:sz w:val="18"/>
          <w:szCs w:val="18"/>
          <w:b w:val="1"/>
          <w:bCs w:val="1"/>
          <w:i w:val="1"/>
          <w:iCs w:val="1"/>
          <w:color w:val="auto"/>
        </w:rPr>
        <w:t>Corporate Documents</w:t>
      </w:r>
      <w:r>
        <w:rPr>
          <w:rFonts w:ascii="Times New Roman" w:cs="Times New Roman" w:eastAsia="Times New Roman" w:hAnsi="Times New Roman"/>
          <w:sz w:val="18"/>
          <w:szCs w:val="18"/>
          <w:color w:val="auto"/>
        </w:rPr>
        <w:t xml:space="preserve">, 7 to 11 above are the </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xml:space="preserve">, and 7 and 8 above are the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xml:space="preserve">. The Corporate Documents and the Transaction Documents are collectively referred to in this opinion as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Assumptions</w:t>
      </w:r>
    </w:p>
    <w:p>
      <w:pPr>
        <w:spacing w:after="0" w:line="221" w:lineRule="exact"/>
        <w:rPr>
          <w:sz w:val="20"/>
          <w:szCs w:val="20"/>
          <w:color w:val="auto"/>
        </w:rPr>
      </w:pPr>
    </w:p>
    <w:p>
      <w:pPr>
        <w:jc w:val="both"/>
        <w:ind w:left="660" w:hanging="652"/>
        <w:spacing w:after="0" w:line="259"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Validity under Foreign Laws. </w:t>
      </w:r>
      <w:r>
        <w:rPr>
          <w:rFonts w:ascii="Times New Roman" w:cs="Times New Roman" w:eastAsia="Times New Roman" w:hAnsi="Times New Roman"/>
          <w:sz w:val="18"/>
          <w:szCs w:val="18"/>
          <w:color w:val="auto"/>
        </w:rPr>
        <w:t>That (i) each party to the Agreements (other than the Company) has the necessary capacity,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 into the Agreements and perform its obligations thereunder, and each such party has duly executed the Agreements; (ii) the Agreements constitutes valid, legally binding and enforceable obligations of each of the parties thereto under the laws of New York State by which law it is expressed to be governed; (iii) all formalities required under the laws of New York State and any other applicable laws (other than the laws of the Cayman Islands) have been complied with; and (iv) no other matters arising under any foreign law will affect the views expressed in this opinion.</w:t>
      </w:r>
    </w:p>
    <w:p>
      <w:pPr>
        <w:spacing w:after="0" w:line="179"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Draft Documents. </w:t>
      </w:r>
      <w:r>
        <w:rPr>
          <w:rFonts w:ascii="Times New Roman" w:cs="Times New Roman" w:eastAsia="Times New Roman" w:hAnsi="Times New Roman"/>
          <w:sz w:val="18"/>
          <w:szCs w:val="18"/>
          <w:color w:val="auto"/>
        </w:rPr>
        <w:t>That the Company will duly execute and deliver the Warrant Agreement in the form of the draft provided to us for review.</w:t>
      </w:r>
    </w:p>
    <w:p>
      <w:pPr>
        <w:spacing w:after="0" w:line="225" w:lineRule="exact"/>
        <w:rPr>
          <w:sz w:val="20"/>
          <w:szCs w:val="20"/>
          <w:color w:val="auto"/>
        </w:rPr>
      </w:pPr>
    </w:p>
    <w:p>
      <w:pPr>
        <w:jc w:val="both"/>
        <w:ind w:left="660" w:hanging="652"/>
        <w:spacing w:after="0" w:line="26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Choice of Laws. </w:t>
      </w:r>
      <w:r>
        <w:rPr>
          <w:rFonts w:ascii="Times New Roman" w:cs="Times New Roman" w:eastAsia="Times New Roman" w:hAnsi="Times New Roman"/>
          <w:sz w:val="18"/>
          <w:szCs w:val="18"/>
          <w:color w:val="auto"/>
        </w:rPr>
        <w:t>The choice of the laws of the State of New York selected to govern the Agreements has been made in good faith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regarded as a valid and binding selection which will be upheld in the courts of that jurisdiction and all other relevant jurisdictions (other than the Cayman Islands) and the entry into and performance of the Agreements will not cause any of the parties thereto to be in breach of any agreement or undertaking.</w:t>
      </w:r>
    </w:p>
    <w:p>
      <w:pPr>
        <w:spacing w:after="0" w:line="176" w:lineRule="exact"/>
        <w:rPr>
          <w:sz w:val="20"/>
          <w:szCs w:val="20"/>
          <w:color w:val="auto"/>
        </w:rPr>
      </w:pPr>
    </w:p>
    <w:p>
      <w:pPr>
        <w:ind w:left="660" w:right="20" w:hanging="652"/>
        <w:spacing w:after="0" w:line="28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Memorandum and Articles. </w:t>
      </w:r>
      <w:r>
        <w:rPr>
          <w:rFonts w:ascii="Times New Roman" w:cs="Times New Roman" w:eastAsia="Times New Roman" w:hAnsi="Times New Roman"/>
          <w:sz w:val="18"/>
          <w:szCs w:val="18"/>
          <w:color w:val="auto"/>
        </w:rPr>
        <w:t>The M&amp;A remain in full force and effect and are otherwise unamended. The M&amp;A will be the memorandum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association of the Company in effect at the time of the issue of the Shares.</w:t>
      </w:r>
    </w:p>
    <w:p>
      <w:pPr>
        <w:spacing w:after="0" w:line="155" w:lineRule="exact"/>
        <w:rPr>
          <w:sz w:val="20"/>
          <w:szCs w:val="20"/>
          <w:color w:val="auto"/>
        </w:rPr>
      </w:pPr>
    </w:p>
    <w:p>
      <w:pPr>
        <w:jc w:val="both"/>
        <w:ind w:left="660" w:hanging="652"/>
        <w:spacing w:after="0" w:line="26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The board of directors of the Company considers the transactions contemplated by the Transaction Documents to be in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of the Company and no director has a financial interest in or other relationship to a party to the transactions contemplated by the Transaction Documents which has not been properly disclosed in the Resolutions.</w:t>
      </w:r>
    </w:p>
    <w:p>
      <w:pPr>
        <w:spacing w:after="0" w:line="171" w:lineRule="exact"/>
        <w:rPr>
          <w:sz w:val="20"/>
          <w:szCs w:val="20"/>
          <w:color w:val="auto"/>
        </w:rPr>
      </w:pPr>
    </w:p>
    <w:p>
      <w:pPr>
        <w:ind w:left="660" w:hanging="652"/>
        <w:spacing w:after="0" w:line="28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Conditions. </w:t>
      </w:r>
      <w:r>
        <w:rPr>
          <w:rFonts w:ascii="Times New Roman" w:cs="Times New Roman" w:eastAsia="Times New Roman" w:hAnsi="Times New Roman"/>
          <w:sz w:val="18"/>
          <w:szCs w:val="18"/>
          <w:color w:val="auto"/>
        </w:rPr>
        <w:t>All conditions to the obligations of the parties to the Agreements will be satisfied or duly waived prior to the issue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there will be no breach of the terms of the Agreements.</w:t>
      </w:r>
    </w:p>
    <w:p>
      <w:pPr>
        <w:spacing w:after="0" w:line="155" w:lineRule="exact"/>
        <w:rPr>
          <w:sz w:val="20"/>
          <w:szCs w:val="20"/>
          <w:color w:val="auto"/>
        </w:rPr>
      </w:pPr>
    </w:p>
    <w:p>
      <w:pPr>
        <w:jc w:val="both"/>
        <w:ind w:left="660" w:hanging="652"/>
        <w:spacing w:after="0" w:line="26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Authenticity of Documents. </w:t>
      </w:r>
      <w:r>
        <w:rPr>
          <w:rFonts w:ascii="Times New Roman" w:cs="Times New Roman" w:eastAsia="Times New Roman" w:hAnsi="Times New Roman"/>
          <w:sz w:val="18"/>
          <w:szCs w:val="18"/>
          <w:color w:val="auto"/>
        </w:rPr>
        <w:t>All original Documents are authentic, all signatures, initials and seals are genuine, all copies of Documents are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correct copies and the Transaction Documents conform in every material respect to the latest drafts of the same produced to us and, where the Transaction Documents have been provided to us in successive drafts marked-up to indicate changes to such documents, all such changes have been so indicated.</w:t>
      </w:r>
    </w:p>
    <w:p>
      <w:pPr>
        <w:spacing w:after="0" w:line="176" w:lineRule="exact"/>
        <w:rPr>
          <w:sz w:val="20"/>
          <w:szCs w:val="20"/>
          <w:color w:val="auto"/>
        </w:rPr>
      </w:pPr>
    </w:p>
    <w:p>
      <w:pPr>
        <w:jc w:val="both"/>
        <w:ind w:left="660" w:hanging="652"/>
        <w:spacing w:after="0" w:line="268"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Documents. </w:t>
      </w:r>
      <w:r>
        <w:rPr>
          <w:rFonts w:ascii="Times New Roman" w:cs="Times New Roman" w:eastAsia="Times New Roman" w:hAnsi="Times New Roman"/>
          <w:sz w:val="18"/>
          <w:szCs w:val="18"/>
          <w:color w:val="auto"/>
        </w:rPr>
        <w:t>All matters required by law to be recorded in the Corporate Documents are so recorded, and all corporate minutes,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resolutions, certificates, documents and records which we have reviewed are accurate and complete, and all facts expressed in or implied thereby are accurate and complete.</w:t>
      </w:r>
    </w:p>
    <w:p>
      <w:pPr>
        <w:spacing w:after="0" w:line="171"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Certificate</w:t>
      </w:r>
      <w:r>
        <w:rPr>
          <w:rFonts w:ascii="Times New Roman" w:cs="Times New Roman" w:eastAsia="Times New Roman" w:hAnsi="Times New Roman"/>
          <w:sz w:val="18"/>
          <w:szCs w:val="18"/>
          <w:color w:val="auto"/>
        </w:rPr>
        <w:t>. The contents of the Director’s Certificate are true and accurate as at the date of this opinion.</w:t>
      </w:r>
    </w:p>
    <w:p>
      <w:pPr>
        <w:spacing w:after="0" w:line="225" w:lineRule="exact"/>
        <w:rPr>
          <w:sz w:val="20"/>
          <w:szCs w:val="20"/>
          <w:color w:val="auto"/>
        </w:rPr>
      </w:pPr>
    </w:p>
    <w:p>
      <w:pPr>
        <w:jc w:val="both"/>
        <w:ind w:left="660" w:hanging="652"/>
        <w:spacing w:after="0" w:line="268"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Court Search. </w:t>
      </w:r>
      <w:r>
        <w:rPr>
          <w:rFonts w:ascii="Times New Roman" w:cs="Times New Roman" w:eastAsia="Times New Roman" w:hAnsi="Times New Roman"/>
          <w:sz w:val="18"/>
          <w:szCs w:val="18"/>
          <w:color w:val="auto"/>
        </w:rPr>
        <w:t>The Register of Writs and other Originating Process of the Grand Court of the Cayman Islands examined by us for the period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incorporation of the Company to the Court Search Date via the Court’s Digital System on the Court Search Date, constitutes a complete record of the proceedings for such period before the Grand Court of the Cayman Islands.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jc w:val="both"/>
        <w:ind w:left="660" w:hanging="652"/>
        <w:spacing w:after="0" w:line="268"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Steps to Wind-up</w:t>
      </w:r>
      <w:r>
        <w:rPr>
          <w:rFonts w:ascii="Times New Roman" w:cs="Times New Roman" w:eastAsia="Times New Roman" w:hAnsi="Times New Roman"/>
          <w:sz w:val="18"/>
          <w:szCs w:val="18"/>
          <w:color w:val="auto"/>
        </w:rPr>
        <w:t>. The directors and shareholders of the Company have not taken any steps to have the Company struck off or placed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no steps have been taken to wind up the Company and no receiver has been appointed over any of the property or assets of the Company.</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The written Resolutions have been duly executed (and where by a corporate entity such execution has been duly authorised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or on behalf of each director or shareholder (as the case may be), and the signatures and initials thereon are those of a person or persons in whose name the Resolutions have been expressed to be signed. The Resolutions passed at a meeting were adopted at duly convened meetings of the board of directors and/or the shareholders of the Company, and such meetings were held and conducted in accordance with the Memorandum and Articles of Association of the Company. The Resolutions remain in full force and effect.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w:t>
      </w:r>
      <w:r>
        <w:rPr>
          <w:rFonts w:ascii="Times New Roman" w:cs="Times New Roman" w:eastAsia="Times New Roman" w:hAnsi="Times New Roman"/>
          <w:sz w:val="18"/>
          <w:szCs w:val="18"/>
          <w:color w:val="auto"/>
        </w:rPr>
        <w:t>. The Agreements were either executed as a single physical document (whether in counterpart or not) in full and final form or,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were executed by or on behalf of any company, body corporate or corporate entity, the relevant signature page was attached to the Agreements by, or on behalf of, the relevant person or otherwise with such person’s express or implied authority.</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Unseen Documents. </w:t>
      </w:r>
      <w:r>
        <w:rPr>
          <w:rFonts w:ascii="Times New Roman" w:cs="Times New Roman" w:eastAsia="Times New Roman" w:hAnsi="Times New Roman"/>
          <w:sz w:val="18"/>
          <w:szCs w:val="18"/>
          <w:color w:val="auto"/>
        </w:rPr>
        <w:t>Save for the Documents provided to us there are no resolutions, agreements, documents or arrangements which materially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amend or vary the transactions envisaged in the Transaction Documents. There is no contractual prohibition (other than as arising under Cayman Islands law) binding on the Company prohibiting it from issuing and allotting the Shares.</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Proceeds of Crime. </w:t>
      </w:r>
      <w:r>
        <w:rPr>
          <w:rFonts w:ascii="Times New Roman" w:cs="Times New Roman" w:eastAsia="Times New Roman" w:hAnsi="Times New Roman"/>
          <w:sz w:val="18"/>
          <w:szCs w:val="18"/>
          <w:color w:val="auto"/>
        </w:rPr>
        <w:t>No monies paid to or for the account of any party under the Transaction Documents represent or will represent criminal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or terrorist property (as defined in the Proceeds of Crime Act (2025 Revision) and the Terrorism Act (2018 Revision), respectively.</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At the time of the exercise of the Warrants in accordance with the M&amp;A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Act will not have changed in such a way as to materially impact the Exercise;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sufficient authorised but unallotted and unissued Underlying Shares, in each case to effect the Exercise in accordance with the M&amp;A and the Companies Act;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able to pay its debts as they fall due in the ordinary course of business immediately following the Exercise;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shares in issue immediately prior to the Exercise other than the Underlying Shares to be issued;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considerations will have been fully paid and without obligation of the holder to make further payment to the Company in respect of the issuance of the Underlying Shares;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have been struck off or placed in liquidation;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for the Underlying Shares to be issued on the Exercise will not be less than the par value of such Underlying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M&amp;A relating to the Exercise will not have been altered,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55" w:name="page56"/>
    <w:bookmarkEnd w:id="5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Qualifications</w:t>
      </w:r>
    </w:p>
    <w:p>
      <w:pPr>
        <w:spacing w:after="0" w:line="221" w:lineRule="exact"/>
        <w:rPr>
          <w:sz w:val="20"/>
          <w:szCs w:val="20"/>
          <w:color w:val="auto"/>
        </w:rPr>
      </w:pPr>
    </w:p>
    <w:p>
      <w:pPr>
        <w:jc w:val="both"/>
        <w:ind w:left="652" w:hanging="652"/>
        <w:spacing w:after="0" w:line="268" w:lineRule="auto"/>
        <w:tabs>
          <w:tab w:leader="none" w:pos="6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above means that the obligations assumed by the Company under the relevant instrument are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type which the courts of the Cayman Islands enforce. It does not mean that those obligations will necessarily be enforced in all circumstances in accordance with their terms. In particular:</w:t>
      </w:r>
    </w:p>
    <w:p>
      <w:pPr>
        <w:spacing w:after="0" w:line="197" w:lineRule="exact"/>
        <w:rPr>
          <w:rFonts w:ascii="Times New Roman" w:cs="Times New Roman" w:eastAsia="Times New Roman" w:hAnsi="Times New Roman"/>
          <w:sz w:val="18"/>
          <w:szCs w:val="18"/>
          <w:color w:val="auto"/>
        </w:rPr>
      </w:pPr>
    </w:p>
    <w:p>
      <w:pPr>
        <w:ind w:left="1292" w:hanging="644"/>
        <w:spacing w:after="0" w:line="286" w:lineRule="auto"/>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Insolvency. </w:t>
      </w:r>
      <w:r>
        <w:rPr>
          <w:rFonts w:ascii="Times New Roman" w:cs="Times New Roman" w:eastAsia="Times New Roman" w:hAnsi="Times New Roman"/>
          <w:sz w:val="18"/>
          <w:szCs w:val="18"/>
          <w:color w:val="auto"/>
        </w:rPr>
        <w:t>Rights and obligations may be limited by bankruptcy, insolvency, liquidation, winding-up, reorganisation, moratorium,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readjustment of debts, arrangements and other similar laws of general application affecting the rights of creditors;</w:t>
      </w:r>
    </w:p>
    <w:p>
      <w:pPr>
        <w:spacing w:after="0" w:line="154" w:lineRule="exact"/>
        <w:rPr>
          <w:rFonts w:ascii="Times New Roman" w:cs="Times New Roman" w:eastAsia="Times New Roman" w:hAnsi="Times New Roman"/>
          <w:sz w:val="18"/>
          <w:szCs w:val="18"/>
          <w:color w:val="auto"/>
        </w:rPr>
      </w:pPr>
    </w:p>
    <w:p>
      <w:pPr>
        <w:ind w:left="1292" w:hanging="644"/>
        <w:spacing w:after="0" w:line="286" w:lineRule="auto"/>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 Periods. </w:t>
      </w:r>
      <w:r>
        <w:rPr>
          <w:rFonts w:ascii="Times New Roman" w:cs="Times New Roman" w:eastAsia="Times New Roman" w:hAnsi="Times New Roman"/>
          <w:sz w:val="18"/>
          <w:szCs w:val="18"/>
          <w:color w:val="auto"/>
        </w:rPr>
        <w:t>Claims under the Agreements may become barred under the Limitation Act (1996 Revision)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of actions in the Cayman Islands or may be or become subject to defences of set-off, estoppel or counterclaim;</w:t>
      </w:r>
    </w:p>
    <w:p>
      <w:pPr>
        <w:spacing w:after="0" w:line="154" w:lineRule="exact"/>
        <w:rPr>
          <w:rFonts w:ascii="Times New Roman" w:cs="Times New Roman" w:eastAsia="Times New Roman" w:hAnsi="Times New Roman"/>
          <w:sz w:val="18"/>
          <w:szCs w:val="18"/>
          <w:color w:val="auto"/>
        </w:rPr>
      </w:pPr>
    </w:p>
    <w:p>
      <w:pPr>
        <w:jc w:val="both"/>
        <w:ind w:left="1292" w:hanging="644"/>
        <w:spacing w:after="0" w:line="268" w:lineRule="auto"/>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Equitable Rights and Remedies</w:t>
      </w:r>
      <w:r>
        <w:rPr>
          <w:rFonts w:ascii="Times New Roman" w:cs="Times New Roman" w:eastAsia="Times New Roman" w:hAnsi="Times New Roman"/>
          <w:sz w:val="18"/>
          <w:szCs w:val="18"/>
          <w:color w:val="auto"/>
        </w:rPr>
        <w:t>. Equitable rights may be defeated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for value without notice. Equitable 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injunctions and orders for specific performance are discretionary and will not normally be available where damages are considered an adequate remedy;</w:t>
      </w:r>
    </w:p>
    <w:p>
      <w:pPr>
        <w:spacing w:after="0" w:line="170" w:lineRule="exact"/>
        <w:rPr>
          <w:rFonts w:ascii="Times New Roman" w:cs="Times New Roman" w:eastAsia="Times New Roman" w:hAnsi="Times New Roman"/>
          <w:sz w:val="18"/>
          <w:szCs w:val="18"/>
          <w:color w:val="auto"/>
        </w:rPr>
      </w:pPr>
    </w:p>
    <w:p>
      <w:pPr>
        <w:jc w:val="both"/>
        <w:ind w:left="1292" w:hanging="644"/>
        <w:spacing w:after="0" w:line="268" w:lineRule="auto"/>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Dealing. </w:t>
      </w:r>
      <w:r>
        <w:rPr>
          <w:rFonts w:ascii="Times New Roman" w:cs="Times New Roman" w:eastAsia="Times New Roman" w:hAnsi="Times New Roman"/>
          <w:sz w:val="18"/>
          <w:szCs w:val="18"/>
          <w:color w:val="auto"/>
        </w:rPr>
        <w:t>Strict legal rights may be qualified by doctrines of good faith and fair dealing - for example a certificate or calculation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matter might be held by a Cayman Islands court not to be conclusive if it could be shown to have an unreasonable or arbitrary basis, or in the event of manifest error;</w:t>
      </w:r>
    </w:p>
    <w:p>
      <w:pPr>
        <w:spacing w:after="0" w:line="170" w:lineRule="exact"/>
        <w:rPr>
          <w:rFonts w:ascii="Times New Roman" w:cs="Times New Roman" w:eastAsia="Times New Roman" w:hAnsi="Times New Roman"/>
          <w:sz w:val="18"/>
          <w:szCs w:val="18"/>
          <w:color w:val="auto"/>
        </w:rPr>
      </w:pPr>
    </w:p>
    <w:p>
      <w:pPr>
        <w:ind w:left="1292" w:right="20" w:hanging="644"/>
        <w:spacing w:after="0" w:line="286" w:lineRule="auto"/>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Prevention of Enforcement. </w:t>
      </w:r>
      <w:r>
        <w:rPr>
          <w:rFonts w:ascii="Times New Roman" w:cs="Times New Roman" w:eastAsia="Times New Roman" w:hAnsi="Times New Roman"/>
          <w:sz w:val="18"/>
          <w:szCs w:val="18"/>
          <w:color w:val="auto"/>
        </w:rPr>
        <w:t>Enforcement may be prevented by reason of fraud, coercion, duress, undue influence, unreasonable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restraint of trade, misrepresentation, public policy or mistake or limited by the doctrine of frustration of contracts;</w:t>
      </w:r>
    </w:p>
    <w:p>
      <w:pPr>
        <w:spacing w:after="0" w:line="154" w:lineRule="exact"/>
        <w:rPr>
          <w:rFonts w:ascii="Times New Roman" w:cs="Times New Roman" w:eastAsia="Times New Roman" w:hAnsi="Times New Roman"/>
          <w:sz w:val="18"/>
          <w:szCs w:val="18"/>
          <w:color w:val="auto"/>
        </w:rPr>
      </w:pPr>
    </w:p>
    <w:p>
      <w:pPr>
        <w:ind w:left="1292" w:right="20" w:hanging="644"/>
        <w:spacing w:after="0" w:line="286" w:lineRule="auto"/>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Penal Provisions</w:t>
      </w:r>
      <w:r>
        <w:rPr>
          <w:rFonts w:ascii="Times New Roman" w:cs="Times New Roman" w:eastAsia="Times New Roman" w:hAnsi="Times New Roman"/>
          <w:sz w:val="18"/>
          <w:szCs w:val="18"/>
          <w:color w:val="auto"/>
        </w:rPr>
        <w:t>. Provisions, for example, for the payment of additional interest in certain circumstances, may be unenforceable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a court of the Cayman Islands determines such provisions to be penal;</w:t>
      </w:r>
    </w:p>
    <w:p>
      <w:pPr>
        <w:spacing w:after="0" w:line="154"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Currency. </w:t>
      </w:r>
      <w:r>
        <w:rPr>
          <w:rFonts w:ascii="Times New Roman" w:cs="Times New Roman" w:eastAsia="Times New Roman" w:hAnsi="Times New Roman"/>
          <w:sz w:val="18"/>
          <w:szCs w:val="18"/>
          <w:color w:val="auto"/>
        </w:rPr>
        <w:t>A Cayman Islands court retains a discretion to denominate any judgment in Cayman Islands dollars;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Provisions imposing confidentiality obligations may be overridden by the requirements of legal process;</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2" w:lineRule="auto"/>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 of Costs</w:t>
      </w:r>
      <w:r>
        <w:rPr>
          <w:rFonts w:ascii="Times New Roman" w:cs="Times New Roman" w:eastAsia="Times New Roman" w:hAnsi="Times New Roman"/>
          <w:sz w:val="18"/>
          <w:szCs w:val="18"/>
          <w:color w:val="auto"/>
        </w:rPr>
        <w:t>. In principle the courts of the Cayman Islands will award costs and disbursements in litigation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contractual provisions but there remains some uncertainty as to the way in which the rules of the Grand Court will be applied in practice. Whilst it is clear that costs incurred prior to judgment can be recovered in accordance with the relevant contract, it is likely that post-judgment costs (to the extent recoverable at all) will be subject to taxation in accordance with Grand Court Rules Order 62; and</w:t>
      </w:r>
    </w:p>
    <w:p>
      <w:pPr>
        <w:spacing w:after="0" w:line="176" w:lineRule="exact"/>
        <w:rPr>
          <w:rFonts w:ascii="Times New Roman" w:cs="Times New Roman" w:eastAsia="Times New Roman" w:hAnsi="Times New Roman"/>
          <w:sz w:val="18"/>
          <w:szCs w:val="18"/>
          <w:color w:val="auto"/>
        </w:rPr>
      </w:pPr>
    </w:p>
    <w:p>
      <w:pPr>
        <w:jc w:val="both"/>
        <w:ind w:left="1292" w:hanging="644"/>
        <w:spacing w:after="0" w:line="262" w:lineRule="auto"/>
        <w:tabs>
          <w:tab w:leader="none" w:pos="12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Inappropriate Forum. </w:t>
      </w:r>
      <w:r>
        <w:rPr>
          <w:rFonts w:ascii="Times New Roman" w:cs="Times New Roman" w:eastAsia="Times New Roman" w:hAnsi="Times New Roman"/>
          <w:sz w:val="18"/>
          <w:szCs w:val="18"/>
          <w:color w:val="auto"/>
        </w:rPr>
        <w:t>The courts of the Cayman Islands may decline to exercise jurisdiction in relation to substantive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brought under or in relation to the Agreements in matters where they determine that (i) such proceedings may be tried in a more appropriate forum; (ii) proceedings are already underway in a different forum; or (iii) the issues have already been finally determined by another forum.</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56" w:name="page57"/>
    <w:bookmarkEnd w:id="56"/>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Statutes. </w:t>
      </w:r>
      <w:r>
        <w:rPr>
          <w:rFonts w:ascii="Times New Roman" w:cs="Times New Roman" w:eastAsia="Times New Roman" w:hAnsi="Times New Roman"/>
          <w:sz w:val="18"/>
          <w:szCs w:val="18"/>
          <w:color w:val="auto"/>
        </w:rPr>
        <w:t>We express no opinion in relation to provisions making reference to foreign statutes in the Transaction Documents.</w:t>
      </w:r>
    </w:p>
    <w:p>
      <w:pPr>
        <w:spacing w:after="0" w:line="225" w:lineRule="exact"/>
        <w:rPr>
          <w:sz w:val="20"/>
          <w:szCs w:val="20"/>
          <w:color w:val="auto"/>
        </w:rPr>
      </w:pPr>
    </w:p>
    <w:p>
      <w:pPr>
        <w:ind w:left="660" w:hanging="652"/>
        <w:spacing w:after="0" w:line="28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Stamp Duty. </w:t>
      </w:r>
      <w:r>
        <w:rPr>
          <w:rFonts w:ascii="Times New Roman" w:cs="Times New Roman" w:eastAsia="Times New Roman" w:hAnsi="Times New Roman"/>
          <w:sz w:val="18"/>
          <w:szCs w:val="18"/>
          <w:color w:val="auto"/>
        </w:rPr>
        <w:t>Cayman Islands stamp duty may be payable if an original of the Agreements is executed in, brought to, or produced before a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Cayman Islands.</w:t>
      </w:r>
    </w:p>
    <w:p>
      <w:pPr>
        <w:spacing w:after="0" w:line="155" w:lineRule="exact"/>
        <w:rPr>
          <w:sz w:val="20"/>
          <w:szCs w:val="20"/>
          <w:color w:val="auto"/>
        </w:rPr>
      </w:pPr>
    </w:p>
    <w:p>
      <w:pPr>
        <w:jc w:val="both"/>
        <w:ind w:left="660" w:hanging="652"/>
        <w:spacing w:after="0" w:line="268"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Several Remedies. </w:t>
      </w:r>
      <w:r>
        <w:rPr>
          <w:rFonts w:ascii="Times New Roman" w:cs="Times New Roman" w:eastAsia="Times New Roman" w:hAnsi="Times New Roman"/>
          <w:sz w:val="18"/>
          <w:szCs w:val="18"/>
          <w:color w:val="auto"/>
        </w:rPr>
        <w:t>In certain circumstances provisions in the Agreements that (i) the election of a particular remedy does not preclude recourse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others; or (ii) delay or failure to exercise a right or remedy will not operate as a waiver of any such right or remedy, may not be enforceable.</w:t>
      </w:r>
    </w:p>
    <w:p>
      <w:pPr>
        <w:spacing w:after="0" w:line="171" w:lineRule="exact"/>
        <w:rPr>
          <w:sz w:val="20"/>
          <w:szCs w:val="20"/>
          <w:color w:val="auto"/>
        </w:rPr>
      </w:pPr>
    </w:p>
    <w:p>
      <w:pPr>
        <w:ind w:left="660" w:right="20" w:hanging="652"/>
        <w:spacing w:after="0" w:line="28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Exculpation and Indemnity Provisions. </w:t>
      </w:r>
      <w:r>
        <w:rPr>
          <w:rFonts w:ascii="Times New Roman" w:cs="Times New Roman" w:eastAsia="Times New Roman" w:hAnsi="Times New Roman"/>
          <w:sz w:val="18"/>
          <w:szCs w:val="18"/>
          <w:color w:val="auto"/>
        </w:rPr>
        <w:t>The effectiveness of terms in the Agreements excusing any party from a liability or duty otherwise 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indemnifying that party from the consequences of incurring such liability or breaching such duty are limited by law.</w:t>
      </w:r>
    </w:p>
    <w:p>
      <w:pPr>
        <w:spacing w:after="0" w:line="155" w:lineRule="exact"/>
        <w:rPr>
          <w:sz w:val="20"/>
          <w:szCs w:val="20"/>
          <w:color w:val="auto"/>
        </w:rPr>
      </w:pPr>
    </w:p>
    <w:p>
      <w:pPr>
        <w:jc w:val="both"/>
        <w:ind w:left="660" w:hanging="652"/>
        <w:spacing w:after="0" w:line="268"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Terms. </w:t>
      </w:r>
      <w:r>
        <w:rPr>
          <w:rFonts w:ascii="Times New Roman" w:cs="Times New Roman" w:eastAsia="Times New Roman" w:hAnsi="Times New Roman"/>
          <w:sz w:val="18"/>
          <w:szCs w:val="18"/>
          <w:color w:val="auto"/>
        </w:rPr>
        <w:t>Except as specifically stated herein, we make no comment with respect to any representations and warranties which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or with respect to the Company in any of the documents or instruments cited in this opinion or otherwise with respect to the commercial terms of the transactions the subject of this opinion.</w:t>
      </w:r>
    </w:p>
    <w:p>
      <w:pPr>
        <w:spacing w:after="0" w:line="171" w:lineRule="exact"/>
        <w:rPr>
          <w:sz w:val="20"/>
          <w:szCs w:val="20"/>
          <w:color w:val="auto"/>
        </w:rPr>
      </w:pPr>
    </w:p>
    <w:p>
      <w:pPr>
        <w:jc w:val="both"/>
        <w:ind w:left="660" w:hanging="652"/>
        <w:spacing w:after="0" w:line="26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Meaning of Non-Assessable. </w:t>
      </w:r>
      <w:r>
        <w:rPr>
          <w:rFonts w:ascii="Times New Roman" w:cs="Times New Roman" w:eastAsia="Times New Roman" w:hAnsi="Times New Roman"/>
          <w:sz w:val="18"/>
          <w:szCs w:val="18"/>
          <w:color w:val="auto"/>
        </w:rPr>
        <w:t>In this opinion the phrase non-assessable means, with respect to the issuance of shares, that a shareholder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respect of the relevant shares, have any obligation to make further contributions to the assets of the relevant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jc w:val="both"/>
        <w:ind w:left="660" w:hanging="652"/>
        <w:spacing w:after="0" w:line="26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A Cayman Islands court would not treat as definitive a statement in a contract that it could only be amended or waived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would be able to consider all the facts of the case (particularly where consideration had passed) to determine whether a verbal amendment or waiver had been effected and, if it found that it had, such verbal amendment or waiver would be deemed to have also amended the stated requirement for a written agreement.</w:t>
      </w:r>
    </w:p>
    <w:p>
      <w:pPr>
        <w:spacing w:after="0" w:line="176" w:lineRule="exact"/>
        <w:rPr>
          <w:sz w:val="20"/>
          <w:szCs w:val="20"/>
          <w:color w:val="auto"/>
        </w:rPr>
      </w:pPr>
    </w:p>
    <w:p>
      <w:pPr>
        <w:ind w:left="660" w:hanging="652"/>
        <w:spacing w:after="0" w:line="28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 Standing. </w:t>
      </w:r>
      <w:r>
        <w:rPr>
          <w:rFonts w:ascii="Times New Roman" w:cs="Times New Roman" w:eastAsia="Times New Roman" w:hAnsi="Times New Roman"/>
          <w:sz w:val="18"/>
          <w:szCs w:val="18"/>
          <w:color w:val="auto"/>
        </w:rPr>
        <w:t>The Company shall be deemed to be in good standing at any time if all fees (including annual filing fees) and penalties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Act have been paid and the Registrar of Companies has no knowledge that the Company is in default under the Companies Act.</w:t>
      </w:r>
    </w:p>
    <w:p>
      <w:pPr>
        <w:spacing w:after="0" w:line="155" w:lineRule="exact"/>
        <w:rPr>
          <w:sz w:val="20"/>
          <w:szCs w:val="20"/>
          <w:color w:val="auto"/>
        </w:rPr>
      </w:pPr>
    </w:p>
    <w:p>
      <w:pPr>
        <w:jc w:val="both"/>
        <w:ind w:left="660" w:hanging="652"/>
        <w:spacing w:after="0" w:line="254"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Court Search</w:t>
      </w:r>
      <w:r>
        <w:rPr>
          <w:rFonts w:ascii="Times New Roman" w:cs="Times New Roman" w:eastAsia="Times New Roman" w:hAnsi="Times New Roman"/>
          <w:sz w:val="18"/>
          <w:szCs w:val="18"/>
          <w:color w:val="auto"/>
        </w:rPr>
        <w:t>. The search of the Register of Writs and other Originating Process of the Grand Court of the Cayman Islands has been undertaken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a digital system made available through the Grand Court of the Cayman Islands (the </w:t>
      </w:r>
      <w:r>
        <w:rPr>
          <w:rFonts w:ascii="Times New Roman" w:cs="Times New Roman" w:eastAsia="Times New Roman" w:hAnsi="Times New Roman"/>
          <w:sz w:val="18"/>
          <w:szCs w:val="18"/>
          <w:b w:val="1"/>
          <w:bCs w:val="1"/>
          <w:i w:val="1"/>
          <w:iCs w:val="1"/>
          <w:color w:val="auto"/>
        </w:rPr>
        <w:t>Court’s Digital System</w:t>
      </w:r>
      <w:r>
        <w:rPr>
          <w:rFonts w:ascii="Times New Roman" w:cs="Times New Roman" w:eastAsia="Times New Roman" w:hAnsi="Times New Roman"/>
          <w:sz w:val="18"/>
          <w:szCs w:val="18"/>
          <w:color w:val="auto"/>
        </w:rPr>
        <w:t>), and through inadvertent errors or delays in updating the digital system (and/or the Register from which the digital information is drawn) may not constitute a complete record of all proceedings as at the Court Search Date and in particular may omit details of very recent filings. The Court Search of the Court Register would not reveal, amongst other things, any writ, originating summons, originating motion, petition (including any winding-up petition), counterclaim or third party notice (</w:t>
      </w:r>
      <w:r>
        <w:rPr>
          <w:rFonts w:ascii="Times New Roman" w:cs="Times New Roman" w:eastAsia="Times New Roman" w:hAnsi="Times New Roman"/>
          <w:sz w:val="18"/>
          <w:szCs w:val="18"/>
          <w:b w:val="1"/>
          <w:bCs w:val="1"/>
          <w:i w:val="1"/>
          <w:iCs w:val="1"/>
          <w:color w:val="auto"/>
        </w:rPr>
        <w:t>Originating Process</w:t>
      </w:r>
      <w:r>
        <w:rPr>
          <w:rFonts w:ascii="Times New Roman" w:cs="Times New Roman" w:eastAsia="Times New Roman" w:hAnsi="Times New Roman"/>
          <w:sz w:val="18"/>
          <w:szCs w:val="18"/>
          <w:color w:val="auto"/>
        </w:rPr>
        <w:t>) filed with the Grand Court of the Cayman Islands which, pursuant to the rules of the Grand Court of the Cayman Islands or best practice of the Clerk of the Courts’ office, should have been entered in the Court Register but was not in fact entered in the Court Register (properly or at all), or any Originating Process which has been placed under seal or anonymised (whether by order of the Court or pursuant to the practice of the Clerk of the Courts’ office).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Conflict of Laws. </w:t>
      </w:r>
      <w:r>
        <w:rPr>
          <w:rFonts w:ascii="Times New Roman" w:cs="Times New Roman" w:eastAsia="Times New Roman" w:hAnsi="Times New Roman"/>
          <w:sz w:val="18"/>
          <w:szCs w:val="18"/>
          <w:color w:val="auto"/>
        </w:rPr>
        <w:t>An expression of an opinion on a matter of Cayman Islands law in relation to a particular issue in this opinion should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necessarily be construed to imply that the Cayman Islands courts would treat Cayman Islands law as the proper law to determine that issue under its conflict of laws rules.</w:t>
      </w:r>
    </w:p>
    <w:p>
      <w:pPr>
        <w:spacing w:after="0" w:line="170"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The obligations of the Company may be subject to restrictions pursuant to United Nations and United Kingdom sanctions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implemented under the laws of the Cayman Islands.</w:t>
      </w:r>
    </w:p>
    <w:p>
      <w:pPr>
        <w:spacing w:after="0" w:line="154"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Economic Substance</w:t>
      </w:r>
      <w:r>
        <w:rPr>
          <w:rFonts w:ascii="Times New Roman" w:cs="Times New Roman" w:eastAsia="Times New Roman" w:hAnsi="Times New Roman"/>
          <w:sz w:val="18"/>
          <w:szCs w:val="18"/>
          <w:color w:val="auto"/>
        </w:rPr>
        <w:t>. We have undertaken no enquiry and express no view as to the compliance of the Company with the International Tax Co-operation (Economic Substance) Act (2026 Revision).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decimal"/>
      <w:start w:val="1"/>
    </w:lvl>
  </w:abstractNum>
  <w:abstractNum w:abstractNumId="1">
    <w:nsid w:val="57E4CCAF"/>
    <w:multiLevelType w:val="hybridMultilevel"/>
    <w:lvl w:ilvl="0">
      <w:lvlJc w:val="left"/>
      <w:lvlText w:val="%1."/>
      <w:numFmt w:val="decimal"/>
      <w:start w:val="2"/>
    </w:lvl>
  </w:abstractNum>
  <w:abstractNum w:abstractNumId="2">
    <w:nsid w:val="7A6D8D3C"/>
    <w:multiLevelType w:val="hybridMultilevel"/>
    <w:lvl w:ilvl="0">
      <w:lvlJc w:val="left"/>
      <w:lvlText w:val="(%1)"/>
      <w:numFmt w:val="lowerLetter"/>
      <w:start w:val="1"/>
    </w:lvl>
  </w:abstractNum>
  <w:abstractNum w:abstractNumId="3">
    <w:nsid w:val="4B588F54"/>
    <w:multiLevelType w:val="hybridMultilevel"/>
    <w:lvl w:ilvl="0">
      <w:lvlJc w:val="left"/>
      <w:lvlText w:val="(%1)"/>
      <w:numFmt w:val="lowerLetter"/>
      <w:start w:val="4"/>
    </w:lvl>
  </w:abstractNum>
  <w:abstractNum w:abstractNumId="4">
    <w:nsid w:val="542289EC"/>
    <w:multiLevelType w:val="hybridMultilevel"/>
    <w:lvl w:ilvl="0">
      <w:lvlJc w:val="left"/>
      <w:lvlText w:val="%1"/>
      <w:numFmt w:val="lowerRoman"/>
      <w:start w:val="1"/>
    </w:lvl>
    <w:lvl w:ilvl="1">
      <w:lvlJc w:val="left"/>
      <w:lvlText w:val="(%2)"/>
      <w:numFmt w:val="lowerLetter"/>
      <w:start w:val="5"/>
    </w:lvl>
  </w:abstractNum>
  <w:abstractNum w:abstractNumId="5">
    <w:nsid w:val="6DE91B18"/>
    <w:multiLevelType w:val="hybridMultilevel"/>
    <w:lvl w:ilvl="0">
      <w:lvlJc w:val="left"/>
      <w:lvlText w:val="(%1)"/>
      <w:numFmt w:val="lowerRoman"/>
      <w:start w:val="1"/>
    </w:lvl>
    <w:lvl w:ilvl="1">
      <w:lvlJc w:val="left"/>
      <w:lvlText w:val="%2"/>
      <w:numFmt w:val="lowerLetter"/>
      <w:start w:val="1"/>
    </w:lvl>
  </w:abstractNum>
  <w:abstractNum w:abstractNumId="6">
    <w:nsid w:val="38437FDB"/>
    <w:multiLevelType w:val="hybridMultilevel"/>
    <w:lvl w:ilvl="0">
      <w:lvlJc w:val="left"/>
      <w:lvlText w:val="(%1)"/>
      <w:numFmt w:val="lowerLetter"/>
      <w:start w:val="1"/>
    </w:lvl>
  </w:abstractNum>
  <w:abstractNum w:abstractNumId="7">
    <w:nsid w:val="7644A45C"/>
    <w:multiLevelType w:val="hybridMultilevel"/>
    <w:lvl w:ilvl="0">
      <w:lvlJc w:val="left"/>
      <w:lvlText w:val="(%1)"/>
      <w:numFmt w:val="lowerLetter"/>
      <w:start w:val="2"/>
    </w:lvl>
  </w:abstractNum>
  <w:abstractNum w:abstractNumId="8">
    <w:nsid w:val="32FFF902"/>
    <w:multiLevelType w:val="hybridMultilevel"/>
    <w:lvl w:ilvl="0">
      <w:lvlJc w:val="left"/>
      <w:lvlText w:val="(%1)"/>
      <w:numFmt w:val="lowerLetter"/>
      <w:start w:val="5"/>
    </w:lvl>
  </w:abstractNum>
  <w:abstractNum w:abstractNumId="9">
    <w:nsid w:val="684A481A"/>
    <w:multiLevelType w:val="hybridMultilevel"/>
    <w:lvl w:ilvl="0">
      <w:lvlJc w:val="left"/>
      <w:lvlText w:val="(%1)"/>
      <w:numFmt w:val="lowerLetter"/>
      <w:start w:val="8"/>
    </w:lvl>
  </w:abstractNum>
  <w:abstractNum w:abstractNumId="10">
    <w:nsid w:val="579478FE"/>
    <w:multiLevelType w:val="hybridMultilevel"/>
    <w:lvl w:ilvl="0">
      <w:lvlJc w:val="left"/>
      <w:lvlText w:val="(%1)"/>
      <w:numFmt w:val="lowerLetter"/>
      <w:start w:val="10"/>
    </w:lvl>
  </w:abstractNum>
  <w:abstractNum w:abstractNumId="11">
    <w:nsid w:val="749ABB43"/>
    <w:multiLevelType w:val="hybridMultilevel"/>
    <w:lvl w:ilvl="0">
      <w:lvlJc w:val="left"/>
      <w:lvlText w:val="(%1)"/>
      <w:numFmt w:val="lowerLetter"/>
      <w:start w:val="16"/>
    </w:lvl>
  </w:abstractNum>
  <w:abstractNum w:abstractNumId="12">
    <w:nsid w:val="3DC240FB"/>
    <w:multiLevelType w:val="hybridMultilevel"/>
    <w:lvl w:ilvl="0">
      <w:lvlJc w:val="left"/>
      <w:lvlText w:val="%1"/>
      <w:numFmt w:val="upperLetter"/>
      <w:start w:val="1"/>
    </w:lvl>
    <w:lvl w:ilvl="1">
      <w:lvlJc w:val="left"/>
      <w:lvlText w:val="(%2)"/>
      <w:numFmt w:val="lowerLetter"/>
      <w:start w:val="20"/>
    </w:lvl>
  </w:abstractNum>
  <w:abstractNum w:abstractNumId="13">
    <w:nsid w:val="1BA026FA"/>
    <w:multiLevelType w:val="hybridMultilevel"/>
    <w:lvl w:ilvl="0">
      <w:lvlJc w:val="left"/>
      <w:lvlText w:val="(%1)"/>
      <w:numFmt w:val="upperLetter"/>
      <w:start w:val="2"/>
    </w:lvl>
    <w:lvl w:ilvl="1">
      <w:lvlJc w:val="left"/>
      <w:lvlText w:val="%2"/>
      <w:numFmt w:val="lowerLetter"/>
      <w:start w:val="1"/>
    </w:lvl>
  </w:abstractNum>
  <w:abstractNum w:abstractNumId="14">
    <w:nsid w:val="79A1DEAA"/>
    <w:multiLevelType w:val="hybridMultilevel"/>
    <w:lvl w:ilvl="0">
      <w:lvlJc w:val="left"/>
      <w:lvlText w:val="(%1)"/>
      <w:numFmt w:val="lowerLetter"/>
      <w:start w:val="24"/>
    </w:lvl>
  </w:abstractNum>
  <w:abstractNum w:abstractNumId="15">
    <w:nsid w:val="75C6C33A"/>
    <w:multiLevelType w:val="hybridMultilevel"/>
    <w:lvl w:ilvl="0">
      <w:lvlJc w:val="left"/>
      <w:lvlText w:val="(%1)"/>
      <w:numFmt w:val="lowerLetter"/>
      <w:start w:val="27"/>
    </w:lvl>
  </w:abstractNum>
  <w:abstractNum w:abstractNumId="16">
    <w:nsid w:val="12E685FB"/>
    <w:multiLevelType w:val="hybridMultilevel"/>
    <w:lvl w:ilvl="0">
      <w:lvlJc w:val="left"/>
      <w:lvlText w:val="(%1)"/>
      <w:numFmt w:val="lowerLetter"/>
      <w:start w:val="29"/>
    </w:lvl>
  </w:abstractNum>
  <w:abstractNum w:abstractNumId="17">
    <w:nsid w:val="70C6A529"/>
    <w:multiLevelType w:val="hybridMultilevel"/>
    <w:lvl w:ilvl="0">
      <w:lvlJc w:val="left"/>
      <w:lvlText w:val="(%1)"/>
      <w:numFmt w:val="lowerLetter"/>
      <w:start w:val="33"/>
    </w:lvl>
  </w:abstractNum>
  <w:abstractNum w:abstractNumId="18">
    <w:nsid w:val="520EEDD1"/>
    <w:multiLevelType w:val="hybridMultilevel"/>
    <w:lvl w:ilvl="0">
      <w:lvlJc w:val="left"/>
      <w:lvlText w:val="(%1)"/>
      <w:numFmt w:val="lowerLetter"/>
      <w:start w:val="36"/>
    </w:lvl>
  </w:abstractNum>
  <w:abstractNum w:abstractNumId="19">
    <w:nsid w:val="374A3FE6"/>
    <w:multiLevelType w:val="hybridMultilevel"/>
    <w:lvl w:ilvl="0">
      <w:lvlJc w:val="left"/>
      <w:lvlText w:val="(%1)"/>
      <w:numFmt w:val="lowerLetter"/>
      <w:start w:val="45"/>
    </w:lvl>
  </w:abstractNum>
  <w:abstractNum w:abstractNumId="20">
    <w:nsid w:val="4F4EF005"/>
    <w:multiLevelType w:val="hybridMultilevel"/>
    <w:lvl w:ilvl="0">
      <w:lvlJc w:val="left"/>
      <w:lvlText w:val="(%1)"/>
      <w:numFmt w:val="lowerLetter"/>
      <w:start w:val="51"/>
    </w:lvl>
  </w:abstractNum>
  <w:abstractNum w:abstractNumId="21">
    <w:nsid w:val="23F9C13C"/>
    <w:multiLevelType w:val="hybridMultilevel"/>
    <w:lvl w:ilvl="0">
      <w:lvlJc w:val="left"/>
      <w:lvlText w:val="(%1)"/>
      <w:numFmt w:val="lowerLetter"/>
      <w:start w:val="1"/>
    </w:lvl>
  </w:abstractNum>
  <w:abstractNum w:abstractNumId="22">
    <w:nsid w:val="649BB77C"/>
    <w:multiLevelType w:val="hybridMultilevel"/>
    <w:lvl w:ilvl="0">
      <w:lvlJc w:val="left"/>
      <w:lvlText w:val="(%1)"/>
      <w:numFmt w:val="lowerLetter"/>
      <w:start w:val="3"/>
    </w:lvl>
  </w:abstractNum>
  <w:abstractNum w:abstractNumId="23">
    <w:nsid w:val="275AC794"/>
    <w:multiLevelType w:val="hybridMultilevel"/>
    <w:lvl w:ilvl="0">
      <w:lvlJc w:val="left"/>
      <w:lvlText w:val="(%1)"/>
      <w:numFmt w:val="lowerLetter"/>
      <w:start w:val="6"/>
    </w:lvl>
  </w:abstractNum>
  <w:abstractNum w:abstractNumId="24">
    <w:nsid w:val="39386575"/>
    <w:multiLevelType w:val="hybridMultilevel"/>
    <w:lvl w:ilvl="0">
      <w:lvlJc w:val="left"/>
      <w:lvlText w:val="(%1)"/>
      <w:numFmt w:val="lowerLetter"/>
      <w:start w:val="13"/>
    </w:lvl>
  </w:abstractNum>
  <w:abstractNum w:abstractNumId="25">
    <w:nsid w:val="1CF10FD8"/>
    <w:multiLevelType w:val="hybridMultilevel"/>
    <w:lvl w:ilvl="0">
      <w:lvlJc w:val="left"/>
      <w:lvlText w:val="(%1)"/>
      <w:numFmt w:val="lowerLetter"/>
      <w:start w:val="1"/>
    </w:lvl>
  </w:abstractNum>
  <w:abstractNum w:abstractNumId="26">
    <w:nsid w:val="180115BE"/>
    <w:multiLevelType w:val="hybridMultilevel"/>
    <w:lvl w:ilvl="0">
      <w:lvlJc w:val="left"/>
      <w:lvlText w:val="%1."/>
      <w:numFmt w:val="decimal"/>
      <w:start w:val="6"/>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lowerLetter"/>
      <w:start w:val="3"/>
    </w:lvl>
    <w:lvl w:ilvl="1">
      <w:lvlJc w:val="left"/>
      <w:lvlText w:val="(%2)"/>
      <w:numFmt w:val="lowerRoman"/>
      <w:start w:val="1"/>
    </w:lvl>
  </w:abstractNum>
  <w:abstractNum w:abstractNumId="29">
    <w:nsid w:val="354FE9F9"/>
    <w:multiLevelType w:val="hybridMultilevel"/>
    <w:lvl w:ilvl="0">
      <w:lvlJc w:val="left"/>
      <w:lvlText w:val="(%1)"/>
      <w:numFmt w:val="lowerLetter"/>
      <w:start w:val="9"/>
    </w:lvl>
  </w:abstractNum>
  <w:abstractNum w:abstractNumId="30">
    <w:nsid w:val="15B5AF5C"/>
    <w:multiLevelType w:val="hybridMultilevel"/>
    <w:lvl w:ilvl="0">
      <w:lvlJc w:val="left"/>
      <w:lvlText w:val="%1."/>
      <w:numFmt w:val="decimal"/>
      <w:start w:val="7"/>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lowerLetter"/>
      <w:start w:val="2"/>
    </w:lvl>
  </w:abstractNum>
  <w:abstractNum w:abstractNumId="33">
    <w:nsid w:val="10233C99"/>
    <w:multiLevelType w:val="hybridMultilevel"/>
    <w:lvl w:ilvl="0">
      <w:lvlJc w:val="left"/>
      <w:lvlText w:val="%1"/>
      <w:numFmt w:val="lowerLetter"/>
      <w:start w:val="1"/>
    </w:lvl>
    <w:lvl w:ilvl="1">
      <w:lvlJc w:val="left"/>
      <w:lvlText w:val="(%2)"/>
      <w:numFmt w:val="lowerLetter"/>
      <w:start w:val="4"/>
    </w:lvl>
  </w:abstractNum>
  <w:abstractNum w:abstractNumId="34">
    <w:nsid w:val="3F6AB60F"/>
    <w:multiLevelType w:val="hybridMultilevel"/>
    <w:lvl w:ilvl="0">
      <w:lvlJc w:val="left"/>
      <w:lvlText w:val="(%1)"/>
      <w:numFmt w:val="lowerLetter"/>
      <w:start w:val="4"/>
    </w:lvl>
    <w:lvl w:ilvl="1">
      <w:lvlJc w:val="left"/>
      <w:lvlText w:val="(%2)"/>
      <w:numFmt w:val="lowerLetter"/>
      <w:start w:val="6"/>
    </w:lvl>
  </w:abstractNum>
  <w:abstractNum w:abstractNumId="35">
    <w:nsid w:val="61574095"/>
    <w:multiLevelType w:val="hybridMultilevel"/>
    <w:lvl w:ilvl="0">
      <w:lvlJc w:val="left"/>
      <w:lvlText w:val="%1."/>
      <w:numFmt w:val="decimal"/>
      <w:start w:val="8"/>
    </w:lvl>
  </w:abstractNum>
  <w:abstractNum w:abstractNumId="36">
    <w:nsid w:val="7E0C57B1"/>
    <w:multiLevelType w:val="hybridMultilevel"/>
    <w:lvl w:ilvl="0">
      <w:lvlJc w:val="left"/>
      <w:lvlText w:val="%1."/>
      <w:numFmt w:val="decimal"/>
      <w:start w:val="10"/>
    </w:lvl>
  </w:abstractNum>
  <w:abstractNum w:abstractNumId="37">
    <w:nsid w:val="77AE35EB"/>
    <w:multiLevelType w:val="hybridMultilevel"/>
    <w:lvl w:ilvl="0">
      <w:lvlJc w:val="left"/>
      <w:lvlText w:val="(%1)"/>
      <w:numFmt w:val="lowerLetter"/>
      <w:start w:val="1"/>
    </w:lvl>
  </w:abstractNum>
  <w:abstractNum w:abstractNumId="38">
    <w:nsid w:val="579BE4F1"/>
    <w:multiLevelType w:val="hybridMultilevel"/>
    <w:lvl w:ilvl="0">
      <w:lvlJc w:val="left"/>
      <w:lvlText w:val="(%1)"/>
      <w:numFmt w:val="lowerLetter"/>
      <w:start w:val="3"/>
    </w:lvl>
  </w:abstractNum>
  <w:abstractNum w:abstractNumId="39">
    <w:nsid w:val="310C50B3"/>
    <w:multiLevelType w:val="hybridMultilevel"/>
    <w:lvl w:ilvl="0">
      <w:lvlJc w:val="left"/>
      <w:lvlText w:val="%1."/>
      <w:numFmt w:val="decimal"/>
      <w:start w:val="11"/>
    </w:lvl>
  </w:abstractNum>
  <w:abstractNum w:abstractNumId="40">
    <w:nsid w:val="5FF87E05"/>
    <w:multiLevelType w:val="hybridMultilevel"/>
    <w:lvl w:ilvl="0">
      <w:lvlJc w:val="left"/>
      <w:lvlText w:val="(%1)"/>
      <w:numFmt w:val="lowerLetter"/>
      <w:start w:val="1"/>
    </w:lvl>
    <w:lvl w:ilvl="1">
      <w:lvlJc w:val="left"/>
      <w:lvlText w:val="(%2)"/>
      <w:numFmt w:val="lowerRoman"/>
      <w:start w:val="1"/>
    </w:lvl>
  </w:abstractNum>
  <w:abstractNum w:abstractNumId="41">
    <w:nsid w:val="2F305DEF"/>
    <w:multiLevelType w:val="hybridMultilevel"/>
    <w:lvl w:ilvl="0">
      <w:lvlJc w:val="left"/>
      <w:lvlText w:val="%1."/>
      <w:numFmt w:val="decimal"/>
      <w:start w:val="12"/>
    </w:lvl>
  </w:abstractNum>
  <w:abstractNum w:abstractNumId="42">
    <w:nsid w:val="25A70BF7"/>
    <w:multiLevelType w:val="hybridMultilevel"/>
    <w:lvl w:ilvl="0">
      <w:lvlJc w:val="left"/>
      <w:lvlText w:val="%1."/>
      <w:numFmt w:val="decimal"/>
      <w:start w:val="13"/>
    </w:lvl>
  </w:abstractNum>
  <w:abstractNum w:abstractNumId="43">
    <w:nsid w:val="1DBABF00"/>
    <w:multiLevelType w:val="hybridMultilevel"/>
    <w:lvl w:ilvl="0">
      <w:lvlJc w:val="left"/>
      <w:lvlText w:val="(%1)"/>
      <w:numFmt w:val="lowerLetter"/>
      <w:start w:val="1"/>
    </w:lvl>
  </w:abstractNum>
  <w:abstractNum w:abstractNumId="44">
    <w:nsid w:val="4AD084E9"/>
    <w:multiLevelType w:val="hybridMultilevel"/>
    <w:lvl w:ilvl="0">
      <w:lvlJc w:val="left"/>
      <w:lvlText w:val="(%1)"/>
      <w:numFmt w:val="lowerLetter"/>
      <w:start w:val="2"/>
    </w:lvl>
  </w:abstractNum>
  <w:abstractNum w:abstractNumId="45">
    <w:nsid w:val="1F48EAA1"/>
    <w:multiLevelType w:val="hybridMultilevel"/>
    <w:lvl w:ilvl="0">
      <w:lvlJc w:val="left"/>
      <w:lvlText w:val="%1."/>
      <w:numFmt w:val="lowerLetter"/>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lowerRoman"/>
      <w:start w:val="1"/>
    </w:lvl>
  </w:abstractNum>
  <w:abstractNum w:abstractNumId="48">
    <w:nsid w:val="100F8FCA"/>
    <w:multiLevelType w:val="hybridMultilevel"/>
    <w:lvl w:ilvl="0">
      <w:lvlJc w:val="left"/>
      <w:lvlText w:val="%1."/>
      <w:numFmt w:val="decimal"/>
      <w:start w:val="3"/>
    </w:lvl>
  </w:abstractNum>
  <w:abstractNum w:abstractNumId="49">
    <w:nsid w:val="6590700B"/>
    <w:multiLevelType w:val="hybridMultilevel"/>
    <w:lvl w:ilvl="0">
      <w:lvlJc w:val="left"/>
      <w:lvlText w:val="%1."/>
      <w:numFmt w:val="decimal"/>
      <w:start w:val="4"/>
    </w:lvl>
  </w:abstractNum>
  <w:abstractNum w:abstractNumId="50">
    <w:nsid w:val="15014ACB"/>
    <w:multiLevelType w:val="hybridMultilevel"/>
    <w:lvl w:ilvl="0">
      <w:lvlJc w:val="left"/>
      <w:lvlText w:val="%1."/>
      <w:numFmt w:val="decimal"/>
      <w:start w:val="5"/>
    </w:lvl>
  </w:abstractNum>
  <w:abstractNum w:abstractNumId="51">
    <w:nsid w:val="5F5E7FD0"/>
    <w:multiLevelType w:val="hybridMultilevel"/>
    <w:lvl w:ilvl="0">
      <w:lvlJc w:val="left"/>
      <w:lvlText w:val="%1."/>
      <w:numFmt w:val="decimal"/>
      <w:start w:val="6"/>
    </w:lvl>
  </w:abstractNum>
  <w:abstractNum w:abstractNumId="52">
    <w:nsid w:val="98A3148"/>
    <w:multiLevelType w:val="hybridMultilevel"/>
    <w:lvl w:ilvl="0">
      <w:lvlJc w:val="left"/>
      <w:lvlText w:val="%1."/>
      <w:numFmt w:val="decimal"/>
      <w:start w:val="7"/>
    </w:lvl>
  </w:abstractNum>
  <w:abstractNum w:abstractNumId="53">
    <w:nsid w:val="799D0247"/>
    <w:multiLevelType w:val="hybridMultilevel"/>
    <w:lvl w:ilvl="0">
      <w:lvlJc w:val="left"/>
      <w:lvlText w:val="%1."/>
      <w:numFmt w:val="decimal"/>
      <w:start w:val="9"/>
    </w:lvl>
  </w:abstractNum>
  <w:abstractNum w:abstractNumId="54">
    <w:nsid w:val="6B94764"/>
    <w:multiLevelType w:val="hybridMultilevel"/>
    <w:lvl w:ilvl="0">
      <w:lvlJc w:val="left"/>
      <w:lvlText w:val="1"/>
      <w:numFmt w:val="bullet"/>
      <w:start w:val="1"/>
    </w:lvl>
  </w:abstractNum>
  <w:abstractNum w:abstractNumId="55">
    <w:nsid w:val="42C296BD"/>
    <w:multiLevelType w:val="hybridMultilevel"/>
    <w:lvl w:ilvl="0">
      <w:lvlJc w:val="left"/>
      <w:lvlText w:val="2"/>
      <w:numFmt w:val="bullet"/>
      <w:start w:val="1"/>
    </w:lvl>
  </w:abstractNum>
  <w:abstractNum w:abstractNumId="56">
    <w:nsid w:val="168E121F"/>
    <w:multiLevelType w:val="hybridMultilevel"/>
    <w:lvl w:ilvl="0">
      <w:lvlJc w:val="left"/>
      <w:lvlText w:val="3"/>
      <w:numFmt w:val="bullet"/>
      <w:start w:val="1"/>
    </w:lvl>
  </w:abstractNum>
  <w:abstractNum w:abstractNumId="57">
    <w:nsid w:val="1EBA5D23"/>
    <w:multiLevelType w:val="hybridMultilevel"/>
    <w:lvl w:ilvl="0">
      <w:lvlJc w:val="left"/>
      <w:lvlText w:val="4"/>
      <w:numFmt w:val="bullet"/>
      <w:start w:val="1"/>
    </w:lvl>
  </w:abstractNum>
  <w:abstractNum w:abstractNumId="58">
    <w:nsid w:val="661E3F1E"/>
    <w:multiLevelType w:val="hybridMultilevel"/>
    <w:lvl w:ilvl="0">
      <w:lvlJc w:val="left"/>
      <w:lvlText w:val="1"/>
      <w:numFmt w:val="bullet"/>
      <w:start w:val="1"/>
    </w:lvl>
  </w:abstractNum>
  <w:abstractNum w:abstractNumId="59">
    <w:nsid w:val="5DC79EA8"/>
    <w:multiLevelType w:val="hybridMultilevel"/>
    <w:lvl w:ilvl="0">
      <w:lvlJc w:val="left"/>
      <w:lvlText w:val="2"/>
      <w:numFmt w:val="bullet"/>
      <w:start w:val="1"/>
    </w:lvl>
  </w:abstractNum>
  <w:abstractNum w:abstractNumId="60">
    <w:nsid w:val="540A471C"/>
    <w:multiLevelType w:val="hybridMultilevel"/>
    <w:lvl w:ilvl="0">
      <w:lvlJc w:val="left"/>
      <w:lvlText w:val="3"/>
      <w:numFmt w:val="bullet"/>
      <w:start w:val="1"/>
    </w:lvl>
  </w:abstractNum>
  <w:abstractNum w:abstractNumId="61">
    <w:nsid w:val="7BD3EE7B"/>
    <w:multiLevelType w:val="hybridMultilevel"/>
    <w:lvl w:ilvl="0">
      <w:lvlJc w:val="left"/>
      <w:lvlText w:val="4"/>
      <w:numFmt w:val="bullet"/>
      <w:start w:val="1"/>
    </w:lvl>
  </w:abstractNum>
  <w:abstractNum w:abstractNumId="62">
    <w:nsid w:val="51D9C564"/>
    <w:multiLevelType w:val="hybridMultilevel"/>
    <w:lvl w:ilvl="0">
      <w:lvlJc w:val="left"/>
      <w:lvlText w:val="5"/>
      <w:numFmt w:val="bullet"/>
      <w:start w:val="1"/>
    </w:lvl>
  </w:abstractNum>
  <w:abstractNum w:abstractNumId="63">
    <w:nsid w:val="613EFDC5"/>
    <w:multiLevelType w:val="hybridMultilevel"/>
    <w:lvl w:ilvl="0">
      <w:lvlJc w:val="left"/>
      <w:lvlText w:val="7"/>
      <w:numFmt w:val="bullet"/>
      <w:start w:val="1"/>
    </w:lvl>
  </w:abstractNum>
  <w:abstractNum w:abstractNumId="64">
    <w:nsid w:val="BF72B14"/>
    <w:multiLevelType w:val="hybridMultilevel"/>
    <w:lvl w:ilvl="0">
      <w:lvlJc w:val="left"/>
      <w:lvlText w:val="8"/>
      <w:numFmt w:val="bullet"/>
      <w:start w:val="1"/>
    </w:lvl>
  </w:abstractNum>
  <w:abstractNum w:abstractNumId="65">
    <w:nsid w:val="11447B73"/>
    <w:multiLevelType w:val="hybridMultilevel"/>
    <w:lvl w:ilvl="0">
      <w:lvlJc w:val="left"/>
      <w:lvlText w:val="9"/>
      <w:numFmt w:val="bullet"/>
      <w:start w:val="1"/>
    </w:lvl>
  </w:abstractNum>
  <w:abstractNum w:abstractNumId="66">
    <w:nsid w:val="42963E5A"/>
    <w:multiLevelType w:val="hybridMultilevel"/>
    <w:lvl w:ilvl="0">
      <w:lvlJc w:val="left"/>
      <w:lvlText w:val="%1"/>
      <w:numFmt w:val="decimal"/>
      <w:start w:val="11"/>
    </w:lvl>
  </w:abstractNum>
  <w:abstractNum w:abstractNumId="67">
    <w:nsid w:val="A0382C5"/>
    <w:multiLevelType w:val="hybridMultilevel"/>
    <w:lvl w:ilvl="0">
      <w:lvlJc w:val="left"/>
      <w:lvlText w:val="1"/>
      <w:numFmt w:val="bullet"/>
      <w:start w:val="1"/>
    </w:lvl>
  </w:abstractNum>
  <w:abstractNum w:abstractNumId="68">
    <w:nsid w:val="8F2B15E"/>
    <w:multiLevelType w:val="hybridMultilevel"/>
    <w:lvl w:ilvl="0">
      <w:lvlJc w:val="left"/>
      <w:lvlText w:val="2"/>
      <w:numFmt w:val="bullet"/>
      <w:start w:val="1"/>
    </w:lvl>
  </w:abstractNum>
  <w:abstractNum w:abstractNumId="69">
    <w:nsid w:val="1A32234B"/>
    <w:multiLevelType w:val="hybridMultilevel"/>
    <w:lvl w:ilvl="0">
      <w:lvlJc w:val="left"/>
      <w:lvlText w:val="3"/>
      <w:numFmt w:val="bullet"/>
      <w:start w:val="1"/>
    </w:lvl>
  </w:abstractNum>
  <w:abstractNum w:abstractNumId="70">
    <w:nsid w:val="3B0FD379"/>
    <w:multiLevelType w:val="hybridMultilevel"/>
    <w:lvl w:ilvl="0">
      <w:lvlJc w:val="left"/>
      <w:lvlText w:val="4"/>
      <w:numFmt w:val="bullet"/>
      <w:start w:val="1"/>
    </w:lvl>
  </w:abstractNum>
  <w:abstractNum w:abstractNumId="71">
    <w:nsid w:val="68EB2F63"/>
    <w:multiLevelType w:val="hybridMultilevel"/>
    <w:lvl w:ilvl="0">
      <w:lvlJc w:val="left"/>
      <w:lvlText w:val="5"/>
      <w:numFmt w:val="bullet"/>
      <w:start w:val="1"/>
    </w:lvl>
  </w:abstractNum>
  <w:abstractNum w:abstractNumId="72">
    <w:nsid w:val="4962813B"/>
    <w:multiLevelType w:val="hybridMultilevel"/>
    <w:lvl w:ilvl="0">
      <w:lvlJc w:val="left"/>
      <w:lvlText w:val="6"/>
      <w:numFmt w:val="bullet"/>
      <w:start w:val="1"/>
    </w:lvl>
  </w:abstractNum>
  <w:abstractNum w:abstractNumId="73">
    <w:nsid w:val="60B6DF70"/>
    <w:multiLevelType w:val="hybridMultilevel"/>
    <w:lvl w:ilvl="0">
      <w:lvlJc w:val="left"/>
      <w:lvlText w:val="7"/>
      <w:numFmt w:val="bullet"/>
      <w:start w:val="1"/>
    </w:lvl>
  </w:abstractNum>
  <w:abstractNum w:abstractNumId="74">
    <w:nsid w:val="6A5EE64"/>
    <w:multiLevelType w:val="hybridMultilevel"/>
    <w:lvl w:ilvl="0">
      <w:lvlJc w:val="left"/>
      <w:lvlText w:val="8"/>
      <w:numFmt w:val="bullet"/>
      <w:start w:val="1"/>
    </w:lvl>
  </w:abstractNum>
  <w:abstractNum w:abstractNumId="75">
    <w:nsid w:val="14330624"/>
    <w:multiLevelType w:val="hybridMultilevel"/>
    <w:lvl w:ilvl="0">
      <w:lvlJc w:val="left"/>
      <w:lvlText w:val="9"/>
      <w:numFmt w:val="bullet"/>
      <w:start w:val="1"/>
    </w:lvl>
  </w:abstractNum>
  <w:abstractNum w:abstractNumId="76">
    <w:nsid w:val="7FFFCA11"/>
    <w:multiLevelType w:val="hybridMultilevel"/>
    <w:lvl w:ilvl="0">
      <w:lvlJc w:val="left"/>
      <w:lvlText w:val="%1"/>
      <w:numFmt w:val="decimal"/>
      <w:start w:val="10"/>
    </w:lvl>
  </w:abstractNum>
  <w:abstractNum w:abstractNumId="77">
    <w:nsid w:val="1A27709E"/>
    <w:multiLevelType w:val="hybridMultilevel"/>
    <w:lvl w:ilvl="0">
      <w:lvlJc w:val="left"/>
      <w:lvlText w:val="%1"/>
      <w:numFmt w:val="decimal"/>
      <w:start w:val="11"/>
    </w:lvl>
    <w:lvl w:ilvl="1">
      <w:lvlJc w:val="left"/>
      <w:lvlText w:val="(%2)"/>
      <w:numFmt w:val="lowerLetter"/>
      <w:start w:val="1"/>
    </w:lvl>
  </w:abstractNum>
  <w:abstractNum w:abstractNumId="78">
    <w:nsid w:val="71EA1109"/>
    <w:multiLevelType w:val="hybridMultilevel"/>
    <w:lvl w:ilvl="0">
      <w:lvlJc w:val="left"/>
      <w:lvlText w:val="1"/>
      <w:numFmt w:val="bullet"/>
      <w:start w:val="1"/>
    </w:lvl>
    <w:lvl w:ilvl="1">
      <w:lvlJc w:val="left"/>
      <w:lvlText w:val="(%2)"/>
      <w:numFmt w:val="lowerLetter"/>
      <w:start w:val="1"/>
    </w:lvl>
  </w:abstractNum>
  <w:abstractNum w:abstractNumId="79">
    <w:nsid w:val="100F59DC"/>
    <w:multiLevelType w:val="hybridMultilevel"/>
    <w:lvl w:ilvl="0">
      <w:lvlJc w:val="left"/>
      <w:lvlText w:val="2"/>
      <w:numFmt w:val="bullet"/>
      <w:start w:val="1"/>
    </w:lvl>
  </w:abstractNum>
  <w:abstractNum w:abstractNumId="80">
    <w:nsid w:val="7FB7E0AA"/>
    <w:multiLevelType w:val="hybridMultilevel"/>
    <w:lvl w:ilvl="0">
      <w:lvlJc w:val="left"/>
      <w:lvlText w:val="3"/>
      <w:numFmt w:val="bullet"/>
      <w:start w:val="1"/>
    </w:lvl>
  </w:abstractNum>
  <w:abstractNum w:abstractNumId="81">
    <w:nsid w:val="6EB5BD4"/>
    <w:multiLevelType w:val="hybridMultilevel"/>
    <w:lvl w:ilvl="0">
      <w:lvlJc w:val="left"/>
      <w:lvlText w:val="4"/>
      <w:numFmt w:val="bullet"/>
      <w:start w:val="1"/>
    </w:lvl>
  </w:abstractNum>
  <w:abstractNum w:abstractNumId="82">
    <w:nsid w:val="6F6DD9AC"/>
    <w:multiLevelType w:val="hybridMultilevel"/>
    <w:lvl w:ilvl="0">
      <w:lvlJc w:val="left"/>
      <w:lvlText w:val="5"/>
      <w:numFmt w:val="bullet"/>
      <w:start w:val="1"/>
    </w:lvl>
  </w:abstractNum>
  <w:abstractNum w:abstractNumId="83">
    <w:nsid w:val="94211F2"/>
    <w:multiLevelType w:val="hybridMultilevel"/>
    <w:lvl w:ilvl="0">
      <w:lvlJc w:val="left"/>
      <w:lvlText w:val="6"/>
      <w:numFmt w:val="bullet"/>
      <w:start w:val="1"/>
    </w:lvl>
  </w:abstractNum>
  <w:abstractNum w:abstractNumId="84">
    <w:nsid w:val="885E1B"/>
    <w:multiLevelType w:val="hybridMultilevel"/>
    <w:lvl w:ilvl="0">
      <w:lvlJc w:val="left"/>
      <w:lvlText w:val="7"/>
      <w:numFmt w:val="bullet"/>
      <w:start w:val="1"/>
    </w:lvl>
  </w:abstractNum>
  <w:abstractNum w:abstractNumId="85">
    <w:nsid w:val="76272110"/>
    <w:multiLevelType w:val="hybridMultilevel"/>
    <w:lvl w:ilvl="0">
      <w:lvlJc w:val="left"/>
      <w:lvlText w:val="8"/>
      <w:numFmt w:val="bullet"/>
      <w:start w:val="1"/>
    </w:lvl>
  </w:abstractNum>
  <w:abstractNum w:abstractNumId="86">
    <w:nsid w:val="4C04A8AF"/>
    <w:multiLevelType w:val="hybridMultilevel"/>
    <w:lvl w:ilvl="0">
      <w:lvlJc w:val="left"/>
      <w:lvlText w:val="9"/>
      <w:numFmt w:val="bullet"/>
      <w:start w:val="1"/>
    </w:lvl>
  </w:abstractNum>
  <w:abstractNum w:abstractNumId="87">
    <w:nsid w:val="1716703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2026-03-31T08:22:36Z</dcterms:created>
  <dcterms:modified xsi:type="dcterms:W3CDTF">2026-03-31T08:22:36Z</dcterms:modified>
</cp:coreProperties>
</file>